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3F17" w14:textId="77777777" w:rsidR="002F0100" w:rsidRDefault="008E04A7" w:rsidP="00EF0534">
      <w:pPr>
        <w:ind w:firstLine="720"/>
        <w:jc w:val="center"/>
        <w:rPr>
          <w:rFonts w:ascii="Times New Roman" w:hAnsi="Times New Roman" w:cs="Times New Roman"/>
          <w:sz w:val="24"/>
          <w:szCs w:val="24"/>
        </w:rPr>
      </w:pPr>
      <w:r>
        <w:rPr>
          <w:rFonts w:ascii="Times New Roman" w:hAnsi="Times New Roman" w:cs="Times New Roman"/>
          <w:sz w:val="24"/>
          <w:szCs w:val="24"/>
        </w:rPr>
        <w:t xml:space="preserve">Permitting </w:t>
      </w:r>
      <w:r w:rsidR="009B24DE">
        <w:rPr>
          <w:rFonts w:ascii="Times New Roman" w:hAnsi="Times New Roman" w:cs="Times New Roman"/>
          <w:sz w:val="24"/>
          <w:szCs w:val="24"/>
        </w:rPr>
        <w:t>Manna Fish F</w:t>
      </w:r>
      <w:r w:rsidR="00496FB5">
        <w:rPr>
          <w:rFonts w:ascii="Times New Roman" w:hAnsi="Times New Roman" w:cs="Times New Roman"/>
          <w:sz w:val="24"/>
          <w:szCs w:val="24"/>
        </w:rPr>
        <w:t>arms,</w:t>
      </w:r>
      <w:r>
        <w:rPr>
          <w:rFonts w:ascii="Times New Roman" w:hAnsi="Times New Roman" w:cs="Times New Roman"/>
          <w:sz w:val="24"/>
          <w:szCs w:val="24"/>
        </w:rPr>
        <w:t xml:space="preserve"> Gulf of Mexico Operations</w:t>
      </w:r>
    </w:p>
    <w:p w14:paraId="5A344333" w14:textId="70F10303" w:rsidR="00EF0534" w:rsidRPr="00EF0534" w:rsidRDefault="00EF0534" w:rsidP="00EF0534">
      <w:pPr>
        <w:ind w:firstLine="720"/>
        <w:jc w:val="center"/>
        <w:rPr>
          <w:rFonts w:ascii="Times New Roman" w:hAnsi="Times New Roman" w:cs="Times New Roman"/>
          <w:caps/>
          <w:sz w:val="20"/>
          <w:szCs w:val="20"/>
        </w:rPr>
      </w:pPr>
      <w:r>
        <w:rPr>
          <w:rFonts w:ascii="Times New Roman" w:hAnsi="Times New Roman" w:cs="Times New Roman"/>
          <w:caps/>
          <w:sz w:val="20"/>
          <w:szCs w:val="20"/>
        </w:rPr>
        <w:t>Kelly Lucas</w:t>
      </w:r>
      <w:r w:rsidR="00DB64D6" w:rsidRPr="00DB64D6">
        <w:rPr>
          <w:rFonts w:ascii="Times New Roman" w:hAnsi="Times New Roman" w:cs="Times New Roman"/>
          <w:sz w:val="20"/>
          <w:szCs w:val="20"/>
          <w:vertAlign w:val="superscript"/>
        </w:rPr>
        <w:t>a</w:t>
      </w:r>
      <w:r>
        <w:rPr>
          <w:rFonts w:ascii="Times New Roman" w:hAnsi="Times New Roman" w:cs="Times New Roman"/>
          <w:caps/>
          <w:sz w:val="20"/>
          <w:szCs w:val="20"/>
        </w:rPr>
        <w:t>, reginald Blaylock</w:t>
      </w:r>
      <w:r w:rsidR="00DB64D6" w:rsidRPr="00DB64D6">
        <w:rPr>
          <w:rFonts w:ascii="Times New Roman" w:hAnsi="Times New Roman" w:cs="Times New Roman"/>
          <w:sz w:val="20"/>
          <w:szCs w:val="20"/>
          <w:vertAlign w:val="superscript"/>
        </w:rPr>
        <w:t>a</w:t>
      </w:r>
      <w:r>
        <w:rPr>
          <w:rFonts w:ascii="Times New Roman" w:hAnsi="Times New Roman" w:cs="Times New Roman"/>
          <w:caps/>
          <w:sz w:val="20"/>
          <w:szCs w:val="20"/>
        </w:rPr>
        <w:t xml:space="preserve">, </w:t>
      </w:r>
      <w:r w:rsidR="00DB64D6">
        <w:rPr>
          <w:rFonts w:ascii="Times New Roman" w:hAnsi="Times New Roman" w:cs="Times New Roman"/>
          <w:caps/>
          <w:sz w:val="20"/>
          <w:szCs w:val="20"/>
        </w:rPr>
        <w:t>Michael Chambers</w:t>
      </w:r>
      <w:r w:rsidR="00DB64D6" w:rsidRPr="00DB64D6">
        <w:rPr>
          <w:rFonts w:ascii="Times New Roman" w:hAnsi="Times New Roman" w:cs="Times New Roman"/>
          <w:sz w:val="20"/>
          <w:szCs w:val="20"/>
          <w:vertAlign w:val="superscript"/>
        </w:rPr>
        <w:t>b</w:t>
      </w:r>
      <w:r w:rsidR="00DB64D6">
        <w:rPr>
          <w:rFonts w:ascii="Times New Roman" w:hAnsi="Times New Roman" w:cs="Times New Roman"/>
          <w:caps/>
          <w:sz w:val="20"/>
          <w:szCs w:val="20"/>
        </w:rPr>
        <w:t>, Stephanie otts</w:t>
      </w:r>
      <w:r w:rsidR="00DB64D6" w:rsidRPr="00DB64D6">
        <w:rPr>
          <w:rFonts w:ascii="Times New Roman" w:hAnsi="Times New Roman" w:cs="Times New Roman"/>
          <w:sz w:val="20"/>
          <w:szCs w:val="20"/>
          <w:vertAlign w:val="superscript"/>
        </w:rPr>
        <w:t>c</w:t>
      </w:r>
      <w:r w:rsidR="008F4692">
        <w:rPr>
          <w:rFonts w:ascii="Times New Roman" w:hAnsi="Times New Roman" w:cs="Times New Roman"/>
          <w:sz w:val="20"/>
          <w:szCs w:val="20"/>
          <w:vertAlign w:val="superscript"/>
        </w:rPr>
        <w:t>d</w:t>
      </w:r>
      <w:r w:rsidR="00DB64D6">
        <w:rPr>
          <w:rFonts w:ascii="Times New Roman" w:hAnsi="Times New Roman" w:cs="Times New Roman"/>
          <w:caps/>
          <w:sz w:val="20"/>
          <w:szCs w:val="20"/>
        </w:rPr>
        <w:t>, kristina Alexander</w:t>
      </w:r>
      <w:r w:rsidR="00DB64D6" w:rsidRPr="00DB64D6">
        <w:rPr>
          <w:rFonts w:ascii="Times New Roman" w:hAnsi="Times New Roman" w:cs="Times New Roman"/>
          <w:sz w:val="20"/>
          <w:szCs w:val="20"/>
          <w:vertAlign w:val="superscript"/>
        </w:rPr>
        <w:t>c</w:t>
      </w:r>
      <w:r w:rsidR="008F4692">
        <w:rPr>
          <w:rFonts w:ascii="Times New Roman" w:hAnsi="Times New Roman" w:cs="Times New Roman"/>
          <w:sz w:val="20"/>
          <w:szCs w:val="20"/>
          <w:vertAlign w:val="superscript"/>
        </w:rPr>
        <w:t>e</w:t>
      </w:r>
      <w:r w:rsidR="00DB64D6">
        <w:rPr>
          <w:rFonts w:ascii="Times New Roman" w:hAnsi="Times New Roman" w:cs="Times New Roman"/>
          <w:caps/>
          <w:sz w:val="20"/>
          <w:szCs w:val="20"/>
        </w:rPr>
        <w:t>, James Morris</w:t>
      </w:r>
      <w:r w:rsidR="008F4692">
        <w:rPr>
          <w:rFonts w:ascii="Times New Roman" w:hAnsi="Times New Roman" w:cs="Times New Roman"/>
          <w:sz w:val="20"/>
          <w:szCs w:val="20"/>
          <w:vertAlign w:val="superscript"/>
        </w:rPr>
        <w:t>f</w:t>
      </w:r>
      <w:r w:rsidR="00DB64D6">
        <w:rPr>
          <w:rFonts w:ascii="Times New Roman" w:hAnsi="Times New Roman" w:cs="Times New Roman"/>
          <w:caps/>
          <w:sz w:val="20"/>
          <w:szCs w:val="20"/>
        </w:rPr>
        <w:t>, Kenneth Riley</w:t>
      </w:r>
      <w:r w:rsidR="008F4692">
        <w:rPr>
          <w:rFonts w:ascii="Times New Roman" w:hAnsi="Times New Roman" w:cs="Times New Roman"/>
          <w:sz w:val="20"/>
          <w:szCs w:val="20"/>
          <w:vertAlign w:val="superscript"/>
        </w:rPr>
        <w:t>f</w:t>
      </w:r>
      <w:r w:rsidR="00DB64D6">
        <w:rPr>
          <w:rFonts w:ascii="Times New Roman" w:hAnsi="Times New Roman" w:cs="Times New Roman"/>
          <w:caps/>
          <w:sz w:val="20"/>
          <w:szCs w:val="20"/>
        </w:rPr>
        <w:t>, Donna Lanzetta</w:t>
      </w:r>
      <w:r w:rsidR="008F4692">
        <w:rPr>
          <w:rFonts w:ascii="Times New Roman" w:hAnsi="Times New Roman" w:cs="Times New Roman"/>
          <w:sz w:val="20"/>
          <w:szCs w:val="20"/>
          <w:vertAlign w:val="superscript"/>
        </w:rPr>
        <w:t>g</w:t>
      </w:r>
      <w:r w:rsidR="00DB64D6">
        <w:rPr>
          <w:rFonts w:ascii="Times New Roman" w:hAnsi="Times New Roman" w:cs="Times New Roman"/>
          <w:caps/>
          <w:sz w:val="20"/>
          <w:szCs w:val="20"/>
        </w:rPr>
        <w:t>, Mike Meeker</w:t>
      </w:r>
      <w:r w:rsidR="008F4692">
        <w:rPr>
          <w:rFonts w:ascii="Times New Roman" w:hAnsi="Times New Roman" w:cs="Times New Roman"/>
          <w:sz w:val="20"/>
          <w:szCs w:val="20"/>
          <w:vertAlign w:val="superscript"/>
        </w:rPr>
        <w:t>gh</w:t>
      </w:r>
    </w:p>
    <w:p w14:paraId="2202E075" w14:textId="2FC9FA64" w:rsidR="00EF0534" w:rsidRPr="000B3B51" w:rsidRDefault="00DB64D6" w:rsidP="00DB64D6">
      <w:pPr>
        <w:pStyle w:val="ListParagraph"/>
        <w:numPr>
          <w:ilvl w:val="0"/>
          <w:numId w:val="1"/>
        </w:numPr>
        <w:rPr>
          <w:rFonts w:ascii="Times New Roman" w:hAnsi="Times New Roman" w:cs="Times New Roman"/>
          <w:sz w:val="20"/>
          <w:szCs w:val="20"/>
        </w:rPr>
      </w:pPr>
      <w:r w:rsidRPr="000B3B51">
        <w:rPr>
          <w:rFonts w:ascii="Times New Roman" w:hAnsi="Times New Roman" w:cs="Times New Roman"/>
          <w:sz w:val="20"/>
          <w:szCs w:val="20"/>
        </w:rPr>
        <w:t xml:space="preserve">Thad Cochran Marine Aquaculture Center, University of Southern Mississippi, 703 East Beach Blvd, Ocean Springs MS. 39564. </w:t>
      </w:r>
    </w:p>
    <w:p w14:paraId="6369B5AE" w14:textId="7297980E" w:rsidR="008F4692" w:rsidRPr="000B3B51" w:rsidRDefault="008F4692" w:rsidP="008F4692">
      <w:pPr>
        <w:pStyle w:val="ListParagraph"/>
        <w:numPr>
          <w:ilvl w:val="0"/>
          <w:numId w:val="1"/>
        </w:numPr>
        <w:rPr>
          <w:rFonts w:ascii="Times New Roman" w:hAnsi="Times New Roman" w:cs="Times New Roman"/>
          <w:sz w:val="20"/>
          <w:szCs w:val="20"/>
        </w:rPr>
      </w:pPr>
      <w:r w:rsidRPr="000B3B51">
        <w:rPr>
          <w:rFonts w:ascii="Times New Roman" w:hAnsi="Times New Roman" w:cs="Times New Roman"/>
          <w:color w:val="545454"/>
          <w:sz w:val="20"/>
          <w:szCs w:val="20"/>
          <w:shd w:val="clear" w:color="auto" w:fill="FFFFFF"/>
        </w:rPr>
        <w:t xml:space="preserve"> </w:t>
      </w:r>
      <w:r w:rsidRPr="000B3B51">
        <w:rPr>
          <w:rFonts w:ascii="Times New Roman" w:hAnsi="Times New Roman" w:cs="Times New Roman"/>
          <w:sz w:val="20"/>
          <w:szCs w:val="20"/>
          <w:shd w:val="clear" w:color="auto" w:fill="FFFFFF"/>
        </w:rPr>
        <w:t xml:space="preserve">University of New Hampshire, School of Ocean Science and Engineering &amp; New Hampshire Sea Grant, , Morse Hall Rm 116, Durham, NH 03824, </w:t>
      </w:r>
    </w:p>
    <w:p w14:paraId="696BB17F" w14:textId="77777777" w:rsidR="008F4692" w:rsidRPr="000B3B51" w:rsidRDefault="008F4692" w:rsidP="008F4692">
      <w:pPr>
        <w:pStyle w:val="ListParagraph"/>
        <w:numPr>
          <w:ilvl w:val="0"/>
          <w:numId w:val="1"/>
        </w:numPr>
        <w:rPr>
          <w:rFonts w:ascii="Times New Roman" w:hAnsi="Times New Roman" w:cs="Times New Roman"/>
          <w:sz w:val="20"/>
          <w:szCs w:val="20"/>
        </w:rPr>
      </w:pPr>
      <w:r w:rsidRPr="000B3B51">
        <w:rPr>
          <w:rFonts w:ascii="Times New Roman" w:hAnsi="Times New Roman" w:cs="Times New Roman"/>
          <w:sz w:val="20"/>
          <w:szCs w:val="20"/>
        </w:rPr>
        <w:t>The University of Mississippi, School of Law, Kindard Hall, Wing E, Room 256 University MS. 38677</w:t>
      </w:r>
    </w:p>
    <w:p w14:paraId="63853472" w14:textId="7C2AB064" w:rsidR="00F26806" w:rsidRPr="000B3B51" w:rsidRDefault="00F26806" w:rsidP="00F26806">
      <w:pPr>
        <w:pStyle w:val="ListParagraph"/>
        <w:numPr>
          <w:ilvl w:val="0"/>
          <w:numId w:val="1"/>
        </w:numPr>
        <w:rPr>
          <w:rFonts w:ascii="Times New Roman" w:hAnsi="Times New Roman" w:cs="Times New Roman"/>
          <w:sz w:val="20"/>
          <w:szCs w:val="20"/>
        </w:rPr>
      </w:pPr>
      <w:r w:rsidRPr="000B3B51">
        <w:rPr>
          <w:rFonts w:ascii="Times New Roman" w:hAnsi="Times New Roman" w:cs="Times New Roman"/>
          <w:sz w:val="20"/>
          <w:szCs w:val="20"/>
        </w:rPr>
        <w:t xml:space="preserve">National Sea Grant Law, </w:t>
      </w:r>
      <w:r w:rsidR="008F4692" w:rsidRPr="000B3B51">
        <w:rPr>
          <w:rFonts w:ascii="Times New Roman" w:hAnsi="Times New Roman" w:cs="Times New Roman"/>
          <w:sz w:val="20"/>
          <w:szCs w:val="20"/>
        </w:rPr>
        <w:t xml:space="preserve">Kindard Hall, Wing E, </w:t>
      </w:r>
      <w:r w:rsidRPr="000B3B51">
        <w:rPr>
          <w:rFonts w:ascii="Times New Roman" w:hAnsi="Times New Roman" w:cs="Times New Roman"/>
          <w:sz w:val="20"/>
          <w:szCs w:val="20"/>
        </w:rPr>
        <w:t>Room 256 University, MS. 38677</w:t>
      </w:r>
    </w:p>
    <w:p w14:paraId="0839D50E" w14:textId="77777777" w:rsidR="008F4692" w:rsidRPr="000B3B51" w:rsidRDefault="00F26806" w:rsidP="00F26806">
      <w:pPr>
        <w:pStyle w:val="ListParagraph"/>
        <w:numPr>
          <w:ilvl w:val="0"/>
          <w:numId w:val="1"/>
        </w:numPr>
        <w:rPr>
          <w:rFonts w:ascii="Times New Roman" w:hAnsi="Times New Roman" w:cs="Times New Roman"/>
          <w:sz w:val="20"/>
          <w:szCs w:val="20"/>
        </w:rPr>
      </w:pPr>
      <w:r w:rsidRPr="000B3B51">
        <w:rPr>
          <w:rFonts w:ascii="Times New Roman" w:hAnsi="Times New Roman" w:cs="Times New Roman"/>
          <w:sz w:val="20"/>
          <w:szCs w:val="20"/>
        </w:rPr>
        <w:t>Mississippi-Alabama Sea Grant, Kindard Hall, Wing E, Room 256 University, MS. 38677</w:t>
      </w:r>
    </w:p>
    <w:p w14:paraId="2DAF332F" w14:textId="77777777" w:rsidR="00F26806" w:rsidRPr="000B3B51" w:rsidRDefault="00F26806" w:rsidP="00F26806">
      <w:pPr>
        <w:pStyle w:val="ListParagraph"/>
        <w:numPr>
          <w:ilvl w:val="0"/>
          <w:numId w:val="1"/>
        </w:numPr>
        <w:rPr>
          <w:rFonts w:ascii="Times New Roman" w:hAnsi="Times New Roman" w:cs="Times New Roman"/>
          <w:sz w:val="20"/>
          <w:szCs w:val="20"/>
        </w:rPr>
      </w:pPr>
      <w:r w:rsidRPr="000B3B51">
        <w:rPr>
          <w:rFonts w:ascii="Times New Roman" w:hAnsi="Times New Roman" w:cs="Times New Roman"/>
          <w:color w:val="000000"/>
          <w:sz w:val="20"/>
          <w:szCs w:val="20"/>
        </w:rPr>
        <w:t xml:space="preserve">Coastal Aquaculture Siting and Sustainability, Marine Spatial Ecology Division, National Centers for Coastal Ocean Science, National Ocean Service, NOAA, </w:t>
      </w:r>
      <w:r w:rsidRPr="000B3B51">
        <w:rPr>
          <w:rFonts w:ascii="Times New Roman" w:hAnsi="Times New Roman" w:cs="Times New Roman"/>
          <w:sz w:val="20"/>
          <w:szCs w:val="20"/>
        </w:rPr>
        <w:t>101 Pivers Island Rd, Beaufort, NC 28516</w:t>
      </w:r>
    </w:p>
    <w:p w14:paraId="354B5549" w14:textId="77777777" w:rsidR="006C0ED0" w:rsidRPr="000B3B51" w:rsidRDefault="006C0ED0" w:rsidP="000D122B">
      <w:pPr>
        <w:pStyle w:val="ListParagraph"/>
        <w:numPr>
          <w:ilvl w:val="0"/>
          <w:numId w:val="1"/>
        </w:numPr>
        <w:rPr>
          <w:rFonts w:ascii="Times New Roman" w:hAnsi="Times New Roman" w:cs="Times New Roman"/>
          <w:sz w:val="20"/>
          <w:szCs w:val="20"/>
        </w:rPr>
      </w:pPr>
      <w:r w:rsidRPr="000B3B51">
        <w:rPr>
          <w:rFonts w:ascii="Times New Roman" w:hAnsi="Times New Roman" w:cs="Times New Roman"/>
          <w:sz w:val="20"/>
          <w:szCs w:val="20"/>
        </w:rPr>
        <w:t>Manna Fish Farms, 22 Inlet Road West, Hampton Bays, NY 11946</w:t>
      </w:r>
    </w:p>
    <w:p w14:paraId="2613A8BD" w14:textId="279E4A16" w:rsidR="00F26806" w:rsidRPr="008B33CF" w:rsidRDefault="00F26806" w:rsidP="00D96DE9">
      <w:pPr>
        <w:pStyle w:val="ListParagraph"/>
        <w:rPr>
          <w:rFonts w:ascii="Times New Roman" w:hAnsi="Times New Roman" w:cs="Times New Roman"/>
          <w:sz w:val="20"/>
          <w:szCs w:val="20"/>
          <w:highlight w:val="yellow"/>
        </w:rPr>
      </w:pPr>
    </w:p>
    <w:p w14:paraId="5B3D1E9E" w14:textId="77777777" w:rsidR="006C0ED0" w:rsidRPr="000B3B51" w:rsidRDefault="006C0ED0" w:rsidP="006C0ED0">
      <w:pPr>
        <w:rPr>
          <w:rFonts w:ascii="Times New Roman" w:hAnsi="Times New Roman" w:cs="Times New Roman"/>
          <w:sz w:val="20"/>
          <w:szCs w:val="20"/>
        </w:rPr>
      </w:pPr>
      <w:r w:rsidRPr="000B3B51">
        <w:rPr>
          <w:rFonts w:ascii="Times New Roman" w:hAnsi="Times New Roman" w:cs="Times New Roman"/>
          <w:sz w:val="20"/>
          <w:szCs w:val="20"/>
        </w:rPr>
        <w:t xml:space="preserve">Email: kelly.lucas@usm.edu, reg.blayloc@usm.edu, micheael.chambers@unh.edu, sshowalt@olemiss.edu, kalexan@olemiss.edu, James.morris@noaa.gov, ken.riley@noaa.gov, </w:t>
      </w:r>
      <w:r w:rsidR="000B3B51" w:rsidRPr="000B3B51">
        <w:rPr>
          <w:rFonts w:ascii="Times New Roman" w:hAnsi="Times New Roman" w:cs="Times New Roman"/>
          <w:sz w:val="20"/>
          <w:szCs w:val="20"/>
        </w:rPr>
        <w:t>donna@mannafishfarms.com, mtmaqua@xplornet.com</w:t>
      </w:r>
    </w:p>
    <w:p w14:paraId="52CC89EF" w14:textId="77777777" w:rsidR="000B3B51" w:rsidRDefault="00410ADE" w:rsidP="006C0ED0">
      <w:pPr>
        <w:rPr>
          <w:rFonts w:ascii="Times New Roman" w:hAnsi="Times New Roman" w:cs="Times New Roman"/>
          <w:b/>
          <w:sz w:val="20"/>
          <w:szCs w:val="20"/>
        </w:rPr>
      </w:pPr>
      <w:r w:rsidRPr="00410ADE">
        <w:rPr>
          <w:rFonts w:ascii="Times New Roman" w:hAnsi="Times New Roman" w:cs="Times New Roman"/>
          <w:b/>
          <w:sz w:val="20"/>
          <w:szCs w:val="20"/>
        </w:rPr>
        <w:t xml:space="preserve">Keywords: </w:t>
      </w:r>
      <w:r w:rsidR="00496FB5" w:rsidRPr="00496FB5">
        <w:rPr>
          <w:rFonts w:ascii="Times New Roman" w:hAnsi="Times New Roman" w:cs="Times New Roman"/>
          <w:sz w:val="20"/>
          <w:szCs w:val="20"/>
        </w:rPr>
        <w:t>Finfish farm</w:t>
      </w:r>
      <w:r w:rsidR="00496FB5" w:rsidRPr="00DA47AE">
        <w:rPr>
          <w:rFonts w:ascii="Times New Roman" w:hAnsi="Times New Roman" w:cs="Times New Roman"/>
          <w:sz w:val="20"/>
          <w:szCs w:val="20"/>
        </w:rPr>
        <w:t xml:space="preserve">, </w:t>
      </w:r>
      <w:r w:rsidR="00DA47AE" w:rsidRPr="00DA47AE">
        <w:rPr>
          <w:rFonts w:ascii="Times New Roman" w:hAnsi="Times New Roman" w:cs="Times New Roman"/>
          <w:sz w:val="20"/>
          <w:szCs w:val="20"/>
        </w:rPr>
        <w:t>permitting,</w:t>
      </w:r>
      <w:r w:rsidR="00DA47AE">
        <w:rPr>
          <w:rFonts w:ascii="Times New Roman" w:hAnsi="Times New Roman" w:cs="Times New Roman"/>
          <w:b/>
          <w:sz w:val="20"/>
          <w:szCs w:val="20"/>
        </w:rPr>
        <w:t xml:space="preserve"> </w:t>
      </w:r>
      <w:r w:rsidR="00DA47AE" w:rsidRPr="00DA47AE">
        <w:rPr>
          <w:rFonts w:ascii="Times New Roman" w:hAnsi="Times New Roman" w:cs="Times New Roman"/>
          <w:sz w:val="20"/>
          <w:szCs w:val="20"/>
        </w:rPr>
        <w:t>Gulf of Mexico</w:t>
      </w:r>
    </w:p>
    <w:p w14:paraId="0BD47D4E" w14:textId="77777777" w:rsidR="00410ADE" w:rsidRPr="00410ADE" w:rsidRDefault="00410ADE" w:rsidP="00741931">
      <w:pPr>
        <w:spacing w:after="0"/>
        <w:rPr>
          <w:rFonts w:ascii="Times New Roman" w:hAnsi="Times New Roman" w:cs="Times New Roman"/>
          <w:b/>
          <w:sz w:val="20"/>
          <w:szCs w:val="20"/>
        </w:rPr>
      </w:pPr>
      <w:r>
        <w:rPr>
          <w:rFonts w:ascii="Times New Roman" w:hAnsi="Times New Roman" w:cs="Times New Roman"/>
          <w:b/>
          <w:sz w:val="20"/>
          <w:szCs w:val="20"/>
        </w:rPr>
        <w:t>Objectives:</w:t>
      </w:r>
    </w:p>
    <w:p w14:paraId="71D7C6E4" w14:textId="0A66BB43" w:rsidR="002F0100" w:rsidRPr="00EF0534" w:rsidRDefault="000B3B51" w:rsidP="00741931">
      <w:pPr>
        <w:spacing w:after="0"/>
        <w:ind w:firstLine="720"/>
        <w:rPr>
          <w:rFonts w:ascii="Times New Roman" w:hAnsi="Times New Roman" w:cs="Times New Roman"/>
          <w:sz w:val="20"/>
          <w:szCs w:val="20"/>
        </w:rPr>
      </w:pPr>
      <w:r>
        <w:rPr>
          <w:rFonts w:ascii="Times New Roman" w:hAnsi="Times New Roman" w:cs="Times New Roman"/>
          <w:sz w:val="20"/>
          <w:szCs w:val="20"/>
        </w:rPr>
        <w:t>T</w:t>
      </w:r>
      <w:r w:rsidR="002F0100" w:rsidRPr="00EF0534">
        <w:rPr>
          <w:rFonts w:ascii="Times New Roman" w:hAnsi="Times New Roman" w:cs="Times New Roman"/>
          <w:sz w:val="20"/>
          <w:szCs w:val="20"/>
        </w:rPr>
        <w:t>he purpose of this project is to permit a commercial</w:t>
      </w:r>
      <w:r w:rsidR="00CC752B">
        <w:rPr>
          <w:rFonts w:ascii="Times New Roman" w:hAnsi="Times New Roman" w:cs="Times New Roman"/>
          <w:sz w:val="20"/>
          <w:szCs w:val="20"/>
        </w:rPr>
        <w:t>-</w:t>
      </w:r>
      <w:r w:rsidR="002F0100" w:rsidRPr="00EF0534">
        <w:rPr>
          <w:rFonts w:ascii="Times New Roman" w:hAnsi="Times New Roman" w:cs="Times New Roman"/>
          <w:sz w:val="20"/>
          <w:szCs w:val="20"/>
        </w:rPr>
        <w:t>scale finfish aquaculture operation in federal waters of the Gulf of Mexico</w:t>
      </w:r>
      <w:r w:rsidR="009F768D">
        <w:rPr>
          <w:rFonts w:ascii="Times New Roman" w:hAnsi="Times New Roman" w:cs="Times New Roman"/>
          <w:sz w:val="20"/>
          <w:szCs w:val="20"/>
        </w:rPr>
        <w:t>.</w:t>
      </w:r>
      <w:r w:rsidR="002F0100" w:rsidRPr="00EF0534">
        <w:rPr>
          <w:rFonts w:ascii="Times New Roman" w:hAnsi="Times New Roman" w:cs="Times New Roman"/>
          <w:sz w:val="20"/>
          <w:szCs w:val="20"/>
        </w:rPr>
        <w:t xml:space="preserve"> </w:t>
      </w:r>
      <w:r w:rsidR="002D7B72" w:rsidRPr="00EF0534">
        <w:rPr>
          <w:rFonts w:ascii="Times New Roman" w:hAnsi="Times New Roman" w:cs="Times New Roman"/>
          <w:sz w:val="20"/>
          <w:szCs w:val="20"/>
        </w:rPr>
        <w:t>The objectives</w:t>
      </w:r>
      <w:r w:rsidR="00EF7375">
        <w:rPr>
          <w:rFonts w:ascii="Times New Roman" w:hAnsi="Times New Roman" w:cs="Times New Roman"/>
          <w:sz w:val="20"/>
          <w:szCs w:val="20"/>
        </w:rPr>
        <w:t xml:space="preserve"> for phase 1 of the project</w:t>
      </w:r>
      <w:r w:rsidR="000B5F83">
        <w:rPr>
          <w:rFonts w:ascii="Times New Roman" w:hAnsi="Times New Roman" w:cs="Times New Roman"/>
          <w:sz w:val="20"/>
          <w:szCs w:val="20"/>
        </w:rPr>
        <w:t xml:space="preserve"> include </w:t>
      </w:r>
      <w:r w:rsidR="002D7B72" w:rsidRPr="00EF0534">
        <w:rPr>
          <w:rFonts w:ascii="Times New Roman" w:hAnsi="Times New Roman" w:cs="Times New Roman"/>
          <w:sz w:val="20"/>
          <w:szCs w:val="20"/>
        </w:rPr>
        <w:t>preliminary site screening, completi</w:t>
      </w:r>
      <w:r w:rsidR="00CC752B">
        <w:rPr>
          <w:rFonts w:ascii="Times New Roman" w:hAnsi="Times New Roman" w:cs="Times New Roman"/>
          <w:sz w:val="20"/>
          <w:szCs w:val="20"/>
        </w:rPr>
        <w:t>on</w:t>
      </w:r>
      <w:r w:rsidR="002D7B72" w:rsidRPr="00EF0534">
        <w:rPr>
          <w:rFonts w:ascii="Times New Roman" w:hAnsi="Times New Roman" w:cs="Times New Roman"/>
          <w:sz w:val="20"/>
          <w:szCs w:val="20"/>
        </w:rPr>
        <w:t xml:space="preserve"> </w:t>
      </w:r>
      <w:r w:rsidR="00CC752B">
        <w:rPr>
          <w:rFonts w:ascii="Times New Roman" w:hAnsi="Times New Roman" w:cs="Times New Roman"/>
          <w:sz w:val="20"/>
          <w:szCs w:val="20"/>
        </w:rPr>
        <w:t xml:space="preserve">of </w:t>
      </w:r>
      <w:r w:rsidR="002D7B72" w:rsidRPr="00EF0534">
        <w:rPr>
          <w:rFonts w:ascii="Times New Roman" w:hAnsi="Times New Roman" w:cs="Times New Roman"/>
          <w:sz w:val="20"/>
          <w:szCs w:val="20"/>
        </w:rPr>
        <w:t>the pre-application meeting, co</w:t>
      </w:r>
      <w:r w:rsidR="00CC752B">
        <w:rPr>
          <w:rFonts w:ascii="Times New Roman" w:hAnsi="Times New Roman" w:cs="Times New Roman"/>
          <w:sz w:val="20"/>
          <w:szCs w:val="20"/>
        </w:rPr>
        <w:t xml:space="preserve">llection of </w:t>
      </w:r>
      <w:r w:rsidR="002D7B72" w:rsidRPr="00EF0534">
        <w:rPr>
          <w:rFonts w:ascii="Times New Roman" w:hAnsi="Times New Roman" w:cs="Times New Roman"/>
          <w:sz w:val="20"/>
          <w:szCs w:val="20"/>
        </w:rPr>
        <w:t>bathymetric and hydrographic data, preliminary structural analysis, submi</w:t>
      </w:r>
      <w:r w:rsidR="00CC752B">
        <w:rPr>
          <w:rFonts w:ascii="Times New Roman" w:hAnsi="Times New Roman" w:cs="Times New Roman"/>
          <w:sz w:val="20"/>
          <w:szCs w:val="20"/>
        </w:rPr>
        <w:t xml:space="preserve">ssion of </w:t>
      </w:r>
      <w:r w:rsidR="002D7B72" w:rsidRPr="00EF0534">
        <w:rPr>
          <w:rFonts w:ascii="Times New Roman" w:hAnsi="Times New Roman" w:cs="Times New Roman"/>
          <w:sz w:val="20"/>
          <w:szCs w:val="20"/>
        </w:rPr>
        <w:t>a permit application</w:t>
      </w:r>
      <w:r w:rsidR="00CC752B">
        <w:rPr>
          <w:rFonts w:ascii="Times New Roman" w:hAnsi="Times New Roman" w:cs="Times New Roman"/>
          <w:sz w:val="20"/>
          <w:szCs w:val="20"/>
        </w:rPr>
        <w:t>,</w:t>
      </w:r>
      <w:r w:rsidR="002D7B72" w:rsidRPr="00EF0534">
        <w:rPr>
          <w:rFonts w:ascii="Times New Roman" w:hAnsi="Times New Roman" w:cs="Times New Roman"/>
          <w:sz w:val="20"/>
          <w:szCs w:val="20"/>
        </w:rPr>
        <w:t xml:space="preserve"> and outreach with the public</w:t>
      </w:r>
      <w:r w:rsidR="00CC752B">
        <w:rPr>
          <w:rFonts w:ascii="Times New Roman" w:hAnsi="Times New Roman" w:cs="Times New Roman"/>
          <w:sz w:val="20"/>
          <w:szCs w:val="20"/>
        </w:rPr>
        <w:t xml:space="preserve"> as well as </w:t>
      </w:r>
      <w:r w:rsidR="002D7B72" w:rsidRPr="00EF0534">
        <w:rPr>
          <w:rFonts w:ascii="Times New Roman" w:hAnsi="Times New Roman" w:cs="Times New Roman"/>
          <w:sz w:val="20"/>
          <w:szCs w:val="20"/>
        </w:rPr>
        <w:t>federal and state agencies</w:t>
      </w:r>
      <w:r w:rsidR="004A070C">
        <w:rPr>
          <w:rFonts w:ascii="Times New Roman" w:hAnsi="Times New Roman" w:cs="Times New Roman"/>
          <w:sz w:val="20"/>
          <w:szCs w:val="20"/>
        </w:rPr>
        <w:t>.</w:t>
      </w:r>
      <w:r w:rsidR="006444B4" w:rsidRPr="00EF0534">
        <w:rPr>
          <w:rFonts w:ascii="Times New Roman" w:hAnsi="Times New Roman" w:cs="Times New Roman"/>
          <w:sz w:val="20"/>
          <w:szCs w:val="20"/>
        </w:rPr>
        <w:t xml:space="preserve"> </w:t>
      </w:r>
    </w:p>
    <w:p w14:paraId="7DF60373" w14:textId="77777777" w:rsidR="00410ADE" w:rsidRPr="00410ADE" w:rsidRDefault="00410ADE" w:rsidP="00741931">
      <w:pPr>
        <w:spacing w:after="0"/>
        <w:rPr>
          <w:rFonts w:ascii="Times New Roman" w:hAnsi="Times New Roman" w:cs="Times New Roman"/>
          <w:b/>
          <w:sz w:val="20"/>
          <w:szCs w:val="20"/>
        </w:rPr>
      </w:pPr>
      <w:r w:rsidRPr="00410ADE">
        <w:rPr>
          <w:rFonts w:ascii="Times New Roman" w:hAnsi="Times New Roman" w:cs="Times New Roman"/>
          <w:b/>
          <w:sz w:val="20"/>
          <w:szCs w:val="20"/>
        </w:rPr>
        <w:t>Background:</w:t>
      </w:r>
    </w:p>
    <w:p w14:paraId="61EF3EE6" w14:textId="4A20B7D7" w:rsidR="00A61402" w:rsidRDefault="00B0413E" w:rsidP="00741931">
      <w:pPr>
        <w:spacing w:after="0"/>
        <w:ind w:firstLine="720"/>
        <w:rPr>
          <w:rFonts w:ascii="Times New Roman" w:hAnsi="Times New Roman" w:cs="Times New Roman"/>
          <w:sz w:val="20"/>
          <w:szCs w:val="20"/>
        </w:rPr>
      </w:pPr>
      <w:r w:rsidRPr="00EF0534">
        <w:rPr>
          <w:rFonts w:ascii="Times New Roman" w:hAnsi="Times New Roman" w:cs="Times New Roman"/>
          <w:sz w:val="20"/>
          <w:szCs w:val="20"/>
        </w:rPr>
        <w:t xml:space="preserve"> </w:t>
      </w:r>
      <w:r w:rsidR="00A61402" w:rsidRPr="00EF0534">
        <w:rPr>
          <w:rFonts w:ascii="Times New Roman" w:hAnsi="Times New Roman" w:cs="Times New Roman"/>
          <w:sz w:val="20"/>
          <w:szCs w:val="20"/>
        </w:rPr>
        <w:t>The final rule for the Gulf of Mexico Fishery Management Plan for Regulating Offshore Marine Aquaculture in the Gulf of Mexico</w:t>
      </w:r>
      <w:r w:rsidR="004A070C">
        <w:rPr>
          <w:rFonts w:ascii="Times New Roman" w:hAnsi="Times New Roman" w:cs="Times New Roman"/>
          <w:sz w:val="20"/>
          <w:szCs w:val="20"/>
        </w:rPr>
        <w:t xml:space="preserve"> (GOM)</w:t>
      </w:r>
      <w:r w:rsidR="00A61402" w:rsidRPr="00EF0534">
        <w:rPr>
          <w:rFonts w:ascii="Times New Roman" w:hAnsi="Times New Roman" w:cs="Times New Roman"/>
          <w:sz w:val="20"/>
          <w:szCs w:val="20"/>
        </w:rPr>
        <w:t xml:space="preserve"> was published in January 2016</w:t>
      </w:r>
      <w:r w:rsidR="00A61402" w:rsidRPr="00EF0534">
        <w:rPr>
          <w:rFonts w:ascii="Times New Roman" w:hAnsi="Times New Roman" w:cs="Times New Roman"/>
          <w:sz w:val="20"/>
          <w:szCs w:val="20"/>
          <w:vertAlign w:val="superscript"/>
        </w:rPr>
        <w:t>1</w:t>
      </w:r>
      <w:r w:rsidR="00A61402" w:rsidRPr="00EF0534">
        <w:rPr>
          <w:rFonts w:ascii="Times New Roman" w:hAnsi="Times New Roman" w:cs="Times New Roman"/>
          <w:sz w:val="20"/>
          <w:szCs w:val="20"/>
        </w:rPr>
        <w:t>.  The plan established a regional permitting process to manage offshore aquaculture in an environmentally sustainable manner, and NOAA worked with federal permitting agencies to create a coordinated permit process</w:t>
      </w:r>
      <w:r w:rsidR="00A61402" w:rsidRPr="00EF0534">
        <w:rPr>
          <w:rFonts w:ascii="Times New Roman" w:hAnsi="Times New Roman" w:cs="Times New Roman"/>
          <w:sz w:val="20"/>
          <w:szCs w:val="20"/>
          <w:vertAlign w:val="superscript"/>
        </w:rPr>
        <w:t>1</w:t>
      </w:r>
      <w:r w:rsidR="00A61402" w:rsidRPr="00EF0534">
        <w:rPr>
          <w:rFonts w:ascii="Times New Roman" w:hAnsi="Times New Roman" w:cs="Times New Roman"/>
          <w:sz w:val="20"/>
          <w:szCs w:val="20"/>
        </w:rPr>
        <w:t>.  NOAA estimated</w:t>
      </w:r>
      <w:r w:rsidR="003C2575">
        <w:rPr>
          <w:rFonts w:ascii="Times New Roman" w:hAnsi="Times New Roman" w:cs="Times New Roman"/>
          <w:sz w:val="20"/>
          <w:szCs w:val="20"/>
        </w:rPr>
        <w:t xml:space="preserve"> the</w:t>
      </w:r>
      <w:r w:rsidR="00A61402" w:rsidRPr="00EF0534">
        <w:rPr>
          <w:rFonts w:ascii="Times New Roman" w:hAnsi="Times New Roman" w:cs="Times New Roman"/>
          <w:sz w:val="20"/>
          <w:szCs w:val="20"/>
        </w:rPr>
        <w:t xml:space="preserve"> cost for engineering, siting</w:t>
      </w:r>
      <w:r w:rsidR="003C2575">
        <w:rPr>
          <w:rFonts w:ascii="Times New Roman" w:hAnsi="Times New Roman" w:cs="Times New Roman"/>
          <w:sz w:val="20"/>
          <w:szCs w:val="20"/>
        </w:rPr>
        <w:t>,</w:t>
      </w:r>
      <w:r w:rsidR="00A61402" w:rsidRPr="00EF0534">
        <w:rPr>
          <w:rFonts w:ascii="Times New Roman" w:hAnsi="Times New Roman" w:cs="Times New Roman"/>
          <w:sz w:val="20"/>
          <w:szCs w:val="20"/>
        </w:rPr>
        <w:t xml:space="preserve"> and environmental assessment for permitting an offshore commercial structure </w:t>
      </w:r>
      <w:r w:rsidR="003C2575">
        <w:rPr>
          <w:rFonts w:ascii="Times New Roman" w:hAnsi="Times New Roman" w:cs="Times New Roman"/>
          <w:sz w:val="20"/>
          <w:szCs w:val="20"/>
        </w:rPr>
        <w:t xml:space="preserve">to be </w:t>
      </w:r>
      <w:r w:rsidR="00A61402" w:rsidRPr="00EF0534">
        <w:rPr>
          <w:rFonts w:ascii="Times New Roman" w:hAnsi="Times New Roman" w:cs="Times New Roman"/>
          <w:sz w:val="20"/>
          <w:szCs w:val="20"/>
        </w:rPr>
        <w:t>in excess of $1 million.  However, investors have expressed concerns regarding the time, actual cost</w:t>
      </w:r>
      <w:r w:rsidR="003C2575">
        <w:rPr>
          <w:rFonts w:ascii="Times New Roman" w:hAnsi="Times New Roman" w:cs="Times New Roman"/>
          <w:sz w:val="20"/>
          <w:szCs w:val="20"/>
        </w:rPr>
        <w:t>,</w:t>
      </w:r>
      <w:r w:rsidR="00A61402" w:rsidRPr="00EF0534">
        <w:rPr>
          <w:rFonts w:ascii="Times New Roman" w:hAnsi="Times New Roman" w:cs="Times New Roman"/>
          <w:sz w:val="20"/>
          <w:szCs w:val="20"/>
        </w:rPr>
        <w:t xml:space="preserve"> uncertainty </w:t>
      </w:r>
      <w:r w:rsidR="003C2575">
        <w:rPr>
          <w:rFonts w:ascii="Times New Roman" w:hAnsi="Times New Roman" w:cs="Times New Roman"/>
          <w:sz w:val="20"/>
          <w:szCs w:val="20"/>
        </w:rPr>
        <w:t xml:space="preserve">with respect to </w:t>
      </w:r>
      <w:r w:rsidR="00A61402" w:rsidRPr="00EF0534">
        <w:rPr>
          <w:rFonts w:ascii="Times New Roman" w:hAnsi="Times New Roman" w:cs="Times New Roman"/>
          <w:sz w:val="20"/>
          <w:szCs w:val="20"/>
        </w:rPr>
        <w:t>permit approval</w:t>
      </w:r>
      <w:r w:rsidR="003C2575">
        <w:rPr>
          <w:rFonts w:ascii="Times New Roman" w:hAnsi="Times New Roman" w:cs="Times New Roman"/>
          <w:sz w:val="20"/>
          <w:szCs w:val="20"/>
        </w:rPr>
        <w:t xml:space="preserve">, and the </w:t>
      </w:r>
      <w:r w:rsidR="00A61402" w:rsidRPr="00EF0534">
        <w:rPr>
          <w:rFonts w:ascii="Times New Roman" w:hAnsi="Times New Roman" w:cs="Times New Roman"/>
          <w:sz w:val="20"/>
          <w:szCs w:val="20"/>
        </w:rPr>
        <w:t>potential lack of social acceptance in the Gulf community</w:t>
      </w:r>
      <w:r w:rsidR="00A61402" w:rsidRPr="00EF0534">
        <w:rPr>
          <w:rFonts w:ascii="Times New Roman" w:hAnsi="Times New Roman" w:cs="Times New Roman"/>
          <w:sz w:val="20"/>
          <w:szCs w:val="20"/>
          <w:vertAlign w:val="superscript"/>
        </w:rPr>
        <w:t>2</w:t>
      </w:r>
      <w:r w:rsidR="00A61402" w:rsidRPr="00EF0534">
        <w:rPr>
          <w:rFonts w:ascii="Times New Roman" w:hAnsi="Times New Roman" w:cs="Times New Roman"/>
          <w:sz w:val="20"/>
          <w:szCs w:val="20"/>
        </w:rPr>
        <w:t xml:space="preserve">.  To alleviate the uncertainty and move the industry forward, the University of Southern Mississippi partnered with Manna Fish Farms, </w:t>
      </w:r>
      <w:r w:rsidR="002D7B72" w:rsidRPr="00EF0534">
        <w:rPr>
          <w:rFonts w:ascii="Times New Roman" w:hAnsi="Times New Roman" w:cs="Times New Roman"/>
          <w:sz w:val="20"/>
          <w:szCs w:val="20"/>
        </w:rPr>
        <w:t>T</w:t>
      </w:r>
      <w:r w:rsidR="00A61402" w:rsidRPr="00EF0534">
        <w:rPr>
          <w:rFonts w:ascii="Times New Roman" w:hAnsi="Times New Roman" w:cs="Times New Roman"/>
          <w:sz w:val="20"/>
          <w:szCs w:val="20"/>
        </w:rPr>
        <w:t>he University of New Hampshire, Mississipp</w:t>
      </w:r>
      <w:r w:rsidR="002D7B72" w:rsidRPr="00EF0534">
        <w:rPr>
          <w:rFonts w:ascii="Times New Roman" w:hAnsi="Times New Roman" w:cs="Times New Roman"/>
          <w:sz w:val="20"/>
          <w:szCs w:val="20"/>
        </w:rPr>
        <w:t>i-Alabama Sea Grant, T</w:t>
      </w:r>
      <w:r w:rsidR="00A61402" w:rsidRPr="00EF0534">
        <w:rPr>
          <w:rFonts w:ascii="Times New Roman" w:hAnsi="Times New Roman" w:cs="Times New Roman"/>
          <w:sz w:val="20"/>
          <w:szCs w:val="20"/>
        </w:rPr>
        <w:t>he University of Mississippi and NOAA Coastal Aquaculture Siting and Sustainability Program to site and permit a commercial-scale offshore finfi</w:t>
      </w:r>
      <w:r w:rsidR="009F768D">
        <w:rPr>
          <w:rFonts w:ascii="Times New Roman" w:hAnsi="Times New Roman" w:cs="Times New Roman"/>
          <w:sz w:val="20"/>
          <w:szCs w:val="20"/>
        </w:rPr>
        <w:t>sh facility for the GOM and evaluate</w:t>
      </w:r>
      <w:r w:rsidR="00A61402" w:rsidRPr="00EF0534">
        <w:rPr>
          <w:rFonts w:ascii="Times New Roman" w:hAnsi="Times New Roman" w:cs="Times New Roman"/>
          <w:sz w:val="20"/>
          <w:szCs w:val="20"/>
        </w:rPr>
        <w:t xml:space="preserve"> the regional aquaculture permitting process</w:t>
      </w:r>
      <w:r w:rsidR="00A61402" w:rsidRPr="00660D5C">
        <w:rPr>
          <w:rFonts w:ascii="Times New Roman" w:hAnsi="Times New Roman" w:cs="Times New Roman"/>
          <w:sz w:val="20"/>
          <w:szCs w:val="20"/>
        </w:rPr>
        <w:t xml:space="preserve">. </w:t>
      </w:r>
      <w:r w:rsidR="00EF7375" w:rsidRPr="00660D5C">
        <w:rPr>
          <w:rFonts w:ascii="Times New Roman" w:hAnsi="Times New Roman" w:cs="Times New Roman"/>
          <w:sz w:val="20"/>
          <w:szCs w:val="20"/>
        </w:rPr>
        <w:t xml:space="preserve">The team was awarded a grant through the Gulf States </w:t>
      </w:r>
      <w:r w:rsidR="004A070C">
        <w:rPr>
          <w:rFonts w:ascii="Times New Roman" w:hAnsi="Times New Roman" w:cs="Times New Roman"/>
          <w:sz w:val="20"/>
          <w:szCs w:val="20"/>
        </w:rPr>
        <w:t xml:space="preserve">Marine </w:t>
      </w:r>
      <w:r w:rsidR="00EF7375" w:rsidRPr="00660D5C">
        <w:rPr>
          <w:rFonts w:ascii="Times New Roman" w:hAnsi="Times New Roman" w:cs="Times New Roman"/>
          <w:sz w:val="20"/>
          <w:szCs w:val="20"/>
        </w:rPr>
        <w:t>Fisheries Commission in June 2018</w:t>
      </w:r>
      <w:r w:rsidR="009F768D">
        <w:rPr>
          <w:rFonts w:ascii="Times New Roman" w:hAnsi="Times New Roman" w:cs="Times New Roman"/>
          <w:sz w:val="20"/>
          <w:szCs w:val="20"/>
        </w:rPr>
        <w:t xml:space="preserve"> to assist </w:t>
      </w:r>
      <w:r w:rsidR="00EF7375" w:rsidRPr="00660D5C">
        <w:rPr>
          <w:rFonts w:ascii="Times New Roman" w:hAnsi="Times New Roman" w:cs="Times New Roman"/>
          <w:sz w:val="20"/>
          <w:szCs w:val="20"/>
        </w:rPr>
        <w:t xml:space="preserve">in achieving phase 1 project objectives. </w:t>
      </w:r>
      <w:r w:rsidR="00EF7375">
        <w:rPr>
          <w:rFonts w:ascii="Times New Roman" w:hAnsi="Times New Roman" w:cs="Times New Roman"/>
          <w:sz w:val="20"/>
          <w:szCs w:val="20"/>
        </w:rPr>
        <w:t xml:space="preserve">  Shortly after the project commenced, </w:t>
      </w:r>
      <w:r w:rsidR="002F0100" w:rsidRPr="00EF0534">
        <w:rPr>
          <w:rFonts w:ascii="Times New Roman" w:hAnsi="Times New Roman" w:cs="Times New Roman"/>
          <w:sz w:val="20"/>
          <w:szCs w:val="20"/>
        </w:rPr>
        <w:t xml:space="preserve">the United States Eastern District Court of Louisiana ruled in favor of Gulf Fishermen’s Association et al. in their legal challenge </w:t>
      </w:r>
      <w:r w:rsidR="003C2575">
        <w:rPr>
          <w:rFonts w:ascii="Times New Roman" w:hAnsi="Times New Roman" w:cs="Times New Roman"/>
          <w:sz w:val="20"/>
          <w:szCs w:val="20"/>
        </w:rPr>
        <w:t xml:space="preserve">to the </w:t>
      </w:r>
      <w:r w:rsidR="002F0100" w:rsidRPr="00EF0534">
        <w:rPr>
          <w:rFonts w:ascii="Times New Roman" w:hAnsi="Times New Roman" w:cs="Times New Roman"/>
          <w:sz w:val="20"/>
          <w:szCs w:val="20"/>
        </w:rPr>
        <w:t>National Marine Fisheries Service</w:t>
      </w:r>
      <w:r w:rsidR="003C2575">
        <w:rPr>
          <w:rFonts w:ascii="Times New Roman" w:hAnsi="Times New Roman" w:cs="Times New Roman"/>
          <w:sz w:val="20"/>
          <w:szCs w:val="20"/>
        </w:rPr>
        <w:t>’</w:t>
      </w:r>
      <w:r w:rsidR="002F0100" w:rsidRPr="00EF0534">
        <w:rPr>
          <w:rFonts w:ascii="Times New Roman" w:hAnsi="Times New Roman" w:cs="Times New Roman"/>
          <w:sz w:val="20"/>
          <w:szCs w:val="20"/>
        </w:rPr>
        <w:t>s (NMFS</w:t>
      </w:r>
      <w:r w:rsidR="009F768D">
        <w:rPr>
          <w:rFonts w:ascii="Times New Roman" w:hAnsi="Times New Roman" w:cs="Times New Roman"/>
          <w:sz w:val="20"/>
          <w:szCs w:val="20"/>
        </w:rPr>
        <w:t>/ NOAA Fisheries</w:t>
      </w:r>
      <w:r w:rsidR="002F0100" w:rsidRPr="00EF0534">
        <w:rPr>
          <w:rFonts w:ascii="Times New Roman" w:hAnsi="Times New Roman" w:cs="Times New Roman"/>
          <w:sz w:val="20"/>
          <w:szCs w:val="20"/>
        </w:rPr>
        <w:t xml:space="preserve">) </w:t>
      </w:r>
      <w:r w:rsidR="003C2575">
        <w:rPr>
          <w:rFonts w:ascii="Times New Roman" w:hAnsi="Times New Roman" w:cs="Times New Roman"/>
          <w:sz w:val="20"/>
          <w:szCs w:val="20"/>
        </w:rPr>
        <w:t xml:space="preserve">authority </w:t>
      </w:r>
      <w:r w:rsidR="002F0100" w:rsidRPr="00EF0534">
        <w:rPr>
          <w:rFonts w:ascii="Times New Roman" w:hAnsi="Times New Roman" w:cs="Times New Roman"/>
          <w:sz w:val="20"/>
          <w:szCs w:val="20"/>
        </w:rPr>
        <w:t>to regulate aquaculture</w:t>
      </w:r>
      <w:r w:rsidR="003C2575" w:rsidRPr="003C2575">
        <w:rPr>
          <w:rFonts w:ascii="Times New Roman" w:hAnsi="Times New Roman" w:cs="Times New Roman"/>
          <w:sz w:val="20"/>
          <w:szCs w:val="20"/>
        </w:rPr>
        <w:t xml:space="preserve"> </w:t>
      </w:r>
      <w:r w:rsidR="003C2575" w:rsidRPr="00EF0534">
        <w:rPr>
          <w:rFonts w:ascii="Times New Roman" w:hAnsi="Times New Roman" w:cs="Times New Roman"/>
          <w:sz w:val="20"/>
          <w:szCs w:val="20"/>
        </w:rPr>
        <w:t xml:space="preserve">under </w:t>
      </w:r>
      <w:r w:rsidR="003C2575">
        <w:rPr>
          <w:rFonts w:ascii="Times New Roman" w:hAnsi="Times New Roman" w:cs="Times New Roman"/>
          <w:sz w:val="20"/>
          <w:szCs w:val="20"/>
        </w:rPr>
        <w:t>the Magnuson-</w:t>
      </w:r>
      <w:r w:rsidR="003C2575" w:rsidRPr="00EF0534">
        <w:rPr>
          <w:rFonts w:ascii="Times New Roman" w:hAnsi="Times New Roman" w:cs="Times New Roman"/>
          <w:sz w:val="20"/>
          <w:szCs w:val="20"/>
        </w:rPr>
        <w:t>Stevens Act</w:t>
      </w:r>
      <w:r w:rsidR="003C2575">
        <w:rPr>
          <w:rFonts w:ascii="Times New Roman" w:hAnsi="Times New Roman" w:cs="Times New Roman"/>
          <w:sz w:val="20"/>
          <w:szCs w:val="20"/>
          <w:vertAlign w:val="superscript"/>
        </w:rPr>
        <w:t>3</w:t>
      </w:r>
      <w:r w:rsidR="002F0100" w:rsidRPr="00EF0534">
        <w:rPr>
          <w:rFonts w:ascii="Times New Roman" w:hAnsi="Times New Roman" w:cs="Times New Roman"/>
          <w:sz w:val="20"/>
          <w:szCs w:val="20"/>
        </w:rPr>
        <w:t>.  The ruling occurred September 2018</w:t>
      </w:r>
      <w:r w:rsidR="009F768D">
        <w:rPr>
          <w:rFonts w:ascii="Times New Roman" w:hAnsi="Times New Roman" w:cs="Times New Roman"/>
          <w:sz w:val="20"/>
          <w:szCs w:val="20"/>
        </w:rPr>
        <w:t>,</w:t>
      </w:r>
      <w:r w:rsidR="002F0100" w:rsidRPr="00EF0534">
        <w:rPr>
          <w:rFonts w:ascii="Times New Roman" w:hAnsi="Times New Roman" w:cs="Times New Roman"/>
          <w:sz w:val="20"/>
          <w:szCs w:val="20"/>
        </w:rPr>
        <w:t xml:space="preserve"> and final judgement was signed in November</w:t>
      </w:r>
      <w:r w:rsidR="003C2575">
        <w:rPr>
          <w:rFonts w:ascii="Times New Roman" w:hAnsi="Times New Roman" w:cs="Times New Roman"/>
          <w:sz w:val="20"/>
          <w:szCs w:val="20"/>
        </w:rPr>
        <w:t xml:space="preserve"> 2018</w:t>
      </w:r>
      <w:r w:rsidR="002F0100" w:rsidRPr="00EF0534">
        <w:rPr>
          <w:rFonts w:ascii="Times New Roman" w:hAnsi="Times New Roman" w:cs="Times New Roman"/>
          <w:sz w:val="20"/>
          <w:szCs w:val="20"/>
          <w:vertAlign w:val="superscript"/>
        </w:rPr>
        <w:t>4</w:t>
      </w:r>
      <w:r w:rsidR="002F0100" w:rsidRPr="00EF0534">
        <w:rPr>
          <w:rFonts w:ascii="Times New Roman" w:hAnsi="Times New Roman" w:cs="Times New Roman"/>
          <w:sz w:val="20"/>
          <w:szCs w:val="20"/>
        </w:rPr>
        <w:t xml:space="preserve">. The </w:t>
      </w:r>
      <w:r w:rsidR="009F768D">
        <w:rPr>
          <w:rFonts w:ascii="Times New Roman" w:hAnsi="Times New Roman" w:cs="Times New Roman"/>
          <w:sz w:val="20"/>
          <w:szCs w:val="20"/>
        </w:rPr>
        <w:t>NMFS</w:t>
      </w:r>
      <w:r w:rsidR="002F0100" w:rsidRPr="00EF0534">
        <w:rPr>
          <w:rFonts w:ascii="Times New Roman" w:hAnsi="Times New Roman" w:cs="Times New Roman"/>
          <w:sz w:val="20"/>
          <w:szCs w:val="20"/>
        </w:rPr>
        <w:t xml:space="preserve"> filed a notice of appeal in December 2018</w:t>
      </w:r>
      <w:r w:rsidR="003C2575">
        <w:rPr>
          <w:rFonts w:ascii="Times New Roman" w:hAnsi="Times New Roman" w:cs="Times New Roman"/>
          <w:sz w:val="20"/>
          <w:szCs w:val="20"/>
        </w:rPr>
        <w:t>,</w:t>
      </w:r>
      <w:r w:rsidR="002F0100" w:rsidRPr="00EF0534">
        <w:rPr>
          <w:rFonts w:ascii="Times New Roman" w:hAnsi="Times New Roman" w:cs="Times New Roman"/>
          <w:sz w:val="20"/>
          <w:szCs w:val="20"/>
        </w:rPr>
        <w:t xml:space="preserve"> and </w:t>
      </w:r>
      <w:r w:rsidR="00DE706A">
        <w:rPr>
          <w:rFonts w:ascii="Times New Roman" w:hAnsi="Times New Roman" w:cs="Times New Roman"/>
          <w:sz w:val="20"/>
          <w:szCs w:val="20"/>
        </w:rPr>
        <w:t>their appellat</w:t>
      </w:r>
      <w:r w:rsidR="003C2575">
        <w:rPr>
          <w:rFonts w:ascii="Times New Roman" w:hAnsi="Times New Roman" w:cs="Times New Roman"/>
          <w:sz w:val="20"/>
          <w:szCs w:val="20"/>
        </w:rPr>
        <w:t>e</w:t>
      </w:r>
      <w:r w:rsidR="00DE706A">
        <w:rPr>
          <w:rFonts w:ascii="Times New Roman" w:hAnsi="Times New Roman" w:cs="Times New Roman"/>
          <w:sz w:val="20"/>
          <w:szCs w:val="20"/>
        </w:rPr>
        <w:t xml:space="preserve"> brief</w:t>
      </w:r>
      <w:r w:rsidR="00EF0534" w:rsidRPr="00EF0534">
        <w:rPr>
          <w:rFonts w:ascii="Times New Roman" w:hAnsi="Times New Roman" w:cs="Times New Roman"/>
          <w:sz w:val="20"/>
          <w:szCs w:val="20"/>
        </w:rPr>
        <w:t xml:space="preserve"> </w:t>
      </w:r>
      <w:r w:rsidR="00DE706A">
        <w:rPr>
          <w:rFonts w:ascii="Times New Roman" w:hAnsi="Times New Roman" w:cs="Times New Roman"/>
          <w:sz w:val="20"/>
          <w:szCs w:val="20"/>
        </w:rPr>
        <w:t xml:space="preserve">was </w:t>
      </w:r>
      <w:r w:rsidR="00FD6C97">
        <w:rPr>
          <w:rFonts w:ascii="Times New Roman" w:hAnsi="Times New Roman" w:cs="Times New Roman"/>
          <w:sz w:val="20"/>
          <w:szCs w:val="20"/>
        </w:rPr>
        <w:t>fil</w:t>
      </w:r>
      <w:r w:rsidR="00EF0534" w:rsidRPr="00EF0534">
        <w:rPr>
          <w:rFonts w:ascii="Times New Roman" w:hAnsi="Times New Roman" w:cs="Times New Roman"/>
          <w:sz w:val="20"/>
          <w:szCs w:val="20"/>
        </w:rPr>
        <w:t xml:space="preserve">ed </w:t>
      </w:r>
      <w:r w:rsidR="00DE706A">
        <w:rPr>
          <w:rFonts w:ascii="Times New Roman" w:hAnsi="Times New Roman" w:cs="Times New Roman"/>
          <w:sz w:val="20"/>
          <w:szCs w:val="20"/>
        </w:rPr>
        <w:t>in</w:t>
      </w:r>
      <w:r w:rsidR="00EF0534" w:rsidRPr="00EF0534">
        <w:rPr>
          <w:rFonts w:ascii="Times New Roman" w:hAnsi="Times New Roman" w:cs="Times New Roman"/>
          <w:sz w:val="20"/>
          <w:szCs w:val="20"/>
        </w:rPr>
        <w:t xml:space="preserve"> June 2019. The Center for Food Safety has been given until August 2019 to file their reply brief for the Government</w:t>
      </w:r>
      <w:r w:rsidR="00DE706A">
        <w:rPr>
          <w:rFonts w:ascii="Times New Roman" w:hAnsi="Times New Roman" w:cs="Times New Roman"/>
          <w:sz w:val="20"/>
          <w:szCs w:val="20"/>
        </w:rPr>
        <w:t>’</w:t>
      </w:r>
      <w:r w:rsidR="00EF0534" w:rsidRPr="00EF0534">
        <w:rPr>
          <w:rFonts w:ascii="Times New Roman" w:hAnsi="Times New Roman" w:cs="Times New Roman"/>
          <w:sz w:val="20"/>
          <w:szCs w:val="20"/>
        </w:rPr>
        <w:t>s appeal.  Alth</w:t>
      </w:r>
      <w:r w:rsidR="002F0100" w:rsidRPr="00EF0534">
        <w:rPr>
          <w:rFonts w:ascii="Times New Roman" w:hAnsi="Times New Roman" w:cs="Times New Roman"/>
          <w:sz w:val="20"/>
          <w:szCs w:val="20"/>
        </w:rPr>
        <w:t xml:space="preserve">ough on appeal, currently NOAA has no authority to issue a Gulf Aquaculture Permit.   Regardless of NOAA’s permit authority, aquaculture can occur in federal waters under permits issued by other federal </w:t>
      </w:r>
      <w:r w:rsidR="009F768D">
        <w:rPr>
          <w:rFonts w:ascii="Times New Roman" w:hAnsi="Times New Roman" w:cs="Times New Roman"/>
          <w:sz w:val="20"/>
          <w:szCs w:val="20"/>
        </w:rPr>
        <w:t xml:space="preserve">regulatory </w:t>
      </w:r>
      <w:r w:rsidR="002F0100" w:rsidRPr="00EF0534">
        <w:rPr>
          <w:rFonts w:ascii="Times New Roman" w:hAnsi="Times New Roman" w:cs="Times New Roman"/>
          <w:sz w:val="20"/>
          <w:szCs w:val="20"/>
        </w:rPr>
        <w:t xml:space="preserve">agencies, specifically a </w:t>
      </w:r>
      <w:r w:rsidR="004A070C">
        <w:rPr>
          <w:rFonts w:ascii="Times New Roman" w:hAnsi="Times New Roman" w:cs="Times New Roman"/>
          <w:sz w:val="20"/>
          <w:szCs w:val="20"/>
        </w:rPr>
        <w:t xml:space="preserve">National Pollutants Discharge Elimination Systems (NPDES) </w:t>
      </w:r>
      <w:r w:rsidR="009F768D">
        <w:rPr>
          <w:rFonts w:ascii="Times New Roman" w:hAnsi="Times New Roman" w:cs="Times New Roman"/>
          <w:sz w:val="20"/>
          <w:szCs w:val="20"/>
        </w:rPr>
        <w:t>permit</w:t>
      </w:r>
      <w:r w:rsidR="002F0100" w:rsidRPr="00EF0534">
        <w:rPr>
          <w:rFonts w:ascii="Times New Roman" w:hAnsi="Times New Roman" w:cs="Times New Roman"/>
          <w:sz w:val="20"/>
          <w:szCs w:val="20"/>
        </w:rPr>
        <w:t xml:space="preserve"> from the E</w:t>
      </w:r>
      <w:r w:rsidR="008F2BE7">
        <w:rPr>
          <w:rFonts w:ascii="Times New Roman" w:hAnsi="Times New Roman" w:cs="Times New Roman"/>
          <w:sz w:val="20"/>
          <w:szCs w:val="20"/>
        </w:rPr>
        <w:t xml:space="preserve">nvironmental </w:t>
      </w:r>
      <w:r w:rsidR="002F0100" w:rsidRPr="00EF0534">
        <w:rPr>
          <w:rFonts w:ascii="Times New Roman" w:hAnsi="Times New Roman" w:cs="Times New Roman"/>
          <w:sz w:val="20"/>
          <w:szCs w:val="20"/>
        </w:rPr>
        <w:t>P</w:t>
      </w:r>
      <w:r w:rsidR="008F2BE7">
        <w:rPr>
          <w:rFonts w:ascii="Times New Roman" w:hAnsi="Times New Roman" w:cs="Times New Roman"/>
          <w:sz w:val="20"/>
          <w:szCs w:val="20"/>
        </w:rPr>
        <w:t xml:space="preserve">rotection </w:t>
      </w:r>
      <w:r w:rsidR="002F0100" w:rsidRPr="00EF0534">
        <w:rPr>
          <w:rFonts w:ascii="Times New Roman" w:hAnsi="Times New Roman" w:cs="Times New Roman"/>
          <w:sz w:val="20"/>
          <w:szCs w:val="20"/>
        </w:rPr>
        <w:t>A</w:t>
      </w:r>
      <w:r w:rsidR="008F2BE7">
        <w:rPr>
          <w:rFonts w:ascii="Times New Roman" w:hAnsi="Times New Roman" w:cs="Times New Roman"/>
          <w:sz w:val="20"/>
          <w:szCs w:val="20"/>
        </w:rPr>
        <w:t>gency (EPA)</w:t>
      </w:r>
      <w:r w:rsidR="002F0100" w:rsidRPr="00EF0534">
        <w:rPr>
          <w:rFonts w:ascii="Times New Roman" w:hAnsi="Times New Roman" w:cs="Times New Roman"/>
          <w:sz w:val="20"/>
          <w:szCs w:val="20"/>
        </w:rPr>
        <w:t xml:space="preserve"> and a Section 10 permit from the US</w:t>
      </w:r>
      <w:r w:rsidR="003C2575">
        <w:rPr>
          <w:rFonts w:ascii="Times New Roman" w:hAnsi="Times New Roman" w:cs="Times New Roman"/>
          <w:sz w:val="20"/>
          <w:szCs w:val="20"/>
        </w:rPr>
        <w:t xml:space="preserve"> </w:t>
      </w:r>
      <w:r w:rsidR="002F0100" w:rsidRPr="00EF0534">
        <w:rPr>
          <w:rFonts w:ascii="Times New Roman" w:hAnsi="Times New Roman" w:cs="Times New Roman"/>
          <w:sz w:val="20"/>
          <w:szCs w:val="20"/>
        </w:rPr>
        <w:t>A</w:t>
      </w:r>
      <w:r w:rsidR="003C2575">
        <w:rPr>
          <w:rFonts w:ascii="Times New Roman" w:hAnsi="Times New Roman" w:cs="Times New Roman"/>
          <w:sz w:val="20"/>
          <w:szCs w:val="20"/>
        </w:rPr>
        <w:t xml:space="preserve">rmy </w:t>
      </w:r>
      <w:r w:rsidR="002F0100" w:rsidRPr="00EF0534">
        <w:rPr>
          <w:rFonts w:ascii="Times New Roman" w:hAnsi="Times New Roman" w:cs="Times New Roman"/>
          <w:sz w:val="20"/>
          <w:szCs w:val="20"/>
        </w:rPr>
        <w:t>C</w:t>
      </w:r>
      <w:r w:rsidR="003C2575">
        <w:rPr>
          <w:rFonts w:ascii="Times New Roman" w:hAnsi="Times New Roman" w:cs="Times New Roman"/>
          <w:sz w:val="20"/>
          <w:szCs w:val="20"/>
        </w:rPr>
        <w:t xml:space="preserve">orps of </w:t>
      </w:r>
      <w:r w:rsidR="002F0100" w:rsidRPr="00EF0534">
        <w:rPr>
          <w:rFonts w:ascii="Times New Roman" w:hAnsi="Times New Roman" w:cs="Times New Roman"/>
          <w:sz w:val="20"/>
          <w:szCs w:val="20"/>
        </w:rPr>
        <w:t>E</w:t>
      </w:r>
      <w:r w:rsidR="003C2575">
        <w:rPr>
          <w:rFonts w:ascii="Times New Roman" w:hAnsi="Times New Roman" w:cs="Times New Roman"/>
          <w:sz w:val="20"/>
          <w:szCs w:val="20"/>
        </w:rPr>
        <w:t>ngineers</w:t>
      </w:r>
      <w:r w:rsidR="008F2BE7">
        <w:rPr>
          <w:rFonts w:ascii="Times New Roman" w:hAnsi="Times New Roman" w:cs="Times New Roman"/>
          <w:sz w:val="20"/>
          <w:szCs w:val="20"/>
        </w:rPr>
        <w:t xml:space="preserve"> (USACE)</w:t>
      </w:r>
      <w:r w:rsidR="002F0100" w:rsidRPr="00EF0534">
        <w:rPr>
          <w:rFonts w:ascii="Times New Roman" w:hAnsi="Times New Roman" w:cs="Times New Roman"/>
          <w:sz w:val="20"/>
          <w:szCs w:val="20"/>
        </w:rPr>
        <w:t xml:space="preserve">. </w:t>
      </w:r>
      <w:r w:rsidR="00660D5C" w:rsidRPr="009F768D">
        <w:rPr>
          <w:rFonts w:ascii="Times New Roman" w:hAnsi="Times New Roman" w:cs="Times New Roman"/>
          <w:color w:val="000000" w:themeColor="text1"/>
          <w:sz w:val="20"/>
          <w:szCs w:val="20"/>
        </w:rPr>
        <w:t>Therefore, the team has continued the projec</w:t>
      </w:r>
      <w:r w:rsidR="00BA3898">
        <w:rPr>
          <w:rFonts w:ascii="Times New Roman" w:hAnsi="Times New Roman" w:cs="Times New Roman"/>
          <w:color w:val="000000" w:themeColor="text1"/>
          <w:sz w:val="20"/>
          <w:szCs w:val="20"/>
        </w:rPr>
        <w:t xml:space="preserve">t to permit the finfish farm. </w:t>
      </w:r>
    </w:p>
    <w:p w14:paraId="7F4AB7E6" w14:textId="77777777" w:rsidR="00D96DE9" w:rsidRDefault="00D96DE9" w:rsidP="00741931">
      <w:pPr>
        <w:spacing w:after="0"/>
        <w:rPr>
          <w:rFonts w:ascii="Times New Roman" w:hAnsi="Times New Roman" w:cs="Times New Roman"/>
          <w:b/>
          <w:sz w:val="20"/>
          <w:szCs w:val="20"/>
        </w:rPr>
      </w:pPr>
    </w:p>
    <w:p w14:paraId="324CDB97" w14:textId="7E8CEC1B" w:rsidR="009324C7" w:rsidRDefault="00410ADE" w:rsidP="00741931">
      <w:pPr>
        <w:spacing w:after="0"/>
        <w:rPr>
          <w:rFonts w:ascii="Times New Roman" w:hAnsi="Times New Roman" w:cs="Times New Roman"/>
          <w:sz w:val="20"/>
          <w:szCs w:val="20"/>
        </w:rPr>
      </w:pPr>
      <w:r>
        <w:rPr>
          <w:rFonts w:ascii="Times New Roman" w:hAnsi="Times New Roman" w:cs="Times New Roman"/>
          <w:b/>
          <w:sz w:val="20"/>
          <w:szCs w:val="20"/>
        </w:rPr>
        <w:t>Process</w:t>
      </w:r>
      <w:r w:rsidR="00660D5C" w:rsidRPr="00410ADE">
        <w:rPr>
          <w:rFonts w:ascii="Times New Roman" w:hAnsi="Times New Roman" w:cs="Times New Roman"/>
          <w:b/>
          <w:sz w:val="20"/>
          <w:szCs w:val="20"/>
        </w:rPr>
        <w:t>:</w:t>
      </w:r>
      <w:r w:rsidR="00660D5C">
        <w:rPr>
          <w:rFonts w:ascii="Times New Roman" w:hAnsi="Times New Roman" w:cs="Times New Roman"/>
          <w:sz w:val="20"/>
          <w:szCs w:val="20"/>
        </w:rPr>
        <w:t xml:space="preserve"> </w:t>
      </w:r>
    </w:p>
    <w:p w14:paraId="4991081F" w14:textId="1D6E192E" w:rsidR="00660D5C" w:rsidRDefault="00660D5C" w:rsidP="00741931">
      <w:pPr>
        <w:spacing w:after="0"/>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The first </w:t>
      </w:r>
      <w:r w:rsidR="009F768D">
        <w:rPr>
          <w:rFonts w:ascii="Times New Roman" w:hAnsi="Times New Roman" w:cs="Times New Roman"/>
          <w:sz w:val="20"/>
          <w:szCs w:val="20"/>
        </w:rPr>
        <w:t xml:space="preserve">task </w:t>
      </w:r>
      <w:r>
        <w:rPr>
          <w:rFonts w:ascii="Times New Roman" w:hAnsi="Times New Roman" w:cs="Times New Roman"/>
          <w:sz w:val="20"/>
          <w:szCs w:val="20"/>
        </w:rPr>
        <w:t>was to identify the site characteristics necessary for the</w:t>
      </w:r>
      <w:r w:rsidR="0056682F">
        <w:rPr>
          <w:rFonts w:ascii="Times New Roman" w:hAnsi="Times New Roman" w:cs="Times New Roman"/>
          <w:sz w:val="20"/>
          <w:szCs w:val="20"/>
        </w:rPr>
        <w:t xml:space="preserve"> 48ha </w:t>
      </w:r>
      <w:r w:rsidR="009F768D">
        <w:rPr>
          <w:rFonts w:ascii="Times New Roman" w:hAnsi="Times New Roman" w:cs="Times New Roman"/>
          <w:sz w:val="20"/>
          <w:szCs w:val="20"/>
        </w:rPr>
        <w:t xml:space="preserve">farm.  The team </w:t>
      </w:r>
      <w:r>
        <w:rPr>
          <w:rFonts w:ascii="Times New Roman" w:hAnsi="Times New Roman" w:cs="Times New Roman"/>
          <w:sz w:val="20"/>
          <w:szCs w:val="20"/>
        </w:rPr>
        <w:t>outlined a regional area of interest that spanned the 50-55m depth range south of Mississippi, Ala</w:t>
      </w:r>
      <w:r w:rsidR="006424E1">
        <w:rPr>
          <w:rFonts w:ascii="Times New Roman" w:hAnsi="Times New Roman" w:cs="Times New Roman"/>
          <w:sz w:val="20"/>
          <w:szCs w:val="20"/>
        </w:rPr>
        <w:t>bama and the Florida Panhandle.</w:t>
      </w:r>
      <w:r w:rsidR="009F768D">
        <w:rPr>
          <w:rFonts w:ascii="Times New Roman" w:hAnsi="Times New Roman" w:cs="Times New Roman"/>
          <w:sz w:val="20"/>
          <w:szCs w:val="20"/>
        </w:rPr>
        <w:t xml:space="preserve"> The team </w:t>
      </w:r>
      <w:r w:rsidR="000C326A">
        <w:rPr>
          <w:rFonts w:ascii="Times New Roman" w:hAnsi="Times New Roman" w:cs="Times New Roman"/>
          <w:sz w:val="20"/>
          <w:szCs w:val="20"/>
        </w:rPr>
        <w:t xml:space="preserve">focused on </w:t>
      </w:r>
      <w:r w:rsidR="009F768D">
        <w:rPr>
          <w:rFonts w:ascii="Times New Roman" w:hAnsi="Times New Roman" w:cs="Times New Roman"/>
          <w:sz w:val="20"/>
          <w:szCs w:val="20"/>
        </w:rPr>
        <w:t>proximity to the</w:t>
      </w:r>
      <w:r w:rsidR="00DE5A0B">
        <w:rPr>
          <w:rFonts w:ascii="Times New Roman" w:hAnsi="Times New Roman" w:cs="Times New Roman"/>
          <w:sz w:val="20"/>
          <w:szCs w:val="20"/>
        </w:rPr>
        <w:t xml:space="preserve"> ports of Gulfport, MS, Pascagoula, MS, </w:t>
      </w:r>
      <w:r w:rsidR="000C326A">
        <w:rPr>
          <w:rFonts w:ascii="Times New Roman" w:hAnsi="Times New Roman" w:cs="Times New Roman"/>
          <w:sz w:val="20"/>
          <w:szCs w:val="20"/>
        </w:rPr>
        <w:t>and</w:t>
      </w:r>
      <w:r w:rsidR="00DE5A0B">
        <w:rPr>
          <w:rFonts w:ascii="Times New Roman" w:hAnsi="Times New Roman" w:cs="Times New Roman"/>
          <w:sz w:val="20"/>
          <w:szCs w:val="20"/>
        </w:rPr>
        <w:t xml:space="preserve"> Pensacola FL</w:t>
      </w:r>
      <w:r w:rsidR="000C326A">
        <w:rPr>
          <w:rFonts w:ascii="Times New Roman" w:hAnsi="Times New Roman" w:cs="Times New Roman"/>
          <w:sz w:val="20"/>
          <w:szCs w:val="20"/>
        </w:rPr>
        <w:t xml:space="preserve"> to </w:t>
      </w:r>
      <w:r w:rsidR="00DE5A0B">
        <w:rPr>
          <w:rFonts w:ascii="Times New Roman" w:hAnsi="Times New Roman" w:cs="Times New Roman"/>
          <w:sz w:val="20"/>
          <w:szCs w:val="20"/>
        </w:rPr>
        <w:t>minimiz</w:t>
      </w:r>
      <w:r w:rsidR="000C326A">
        <w:rPr>
          <w:rFonts w:ascii="Times New Roman" w:hAnsi="Times New Roman" w:cs="Times New Roman"/>
          <w:sz w:val="20"/>
          <w:szCs w:val="20"/>
        </w:rPr>
        <w:t>e</w:t>
      </w:r>
      <w:r w:rsidR="00DE5A0B">
        <w:rPr>
          <w:rFonts w:ascii="Times New Roman" w:hAnsi="Times New Roman" w:cs="Times New Roman"/>
          <w:sz w:val="20"/>
          <w:szCs w:val="20"/>
        </w:rPr>
        <w:t xml:space="preserve"> farm to port distance and user conflicts</w:t>
      </w:r>
      <w:r w:rsidR="000C326A">
        <w:rPr>
          <w:rFonts w:ascii="Times New Roman" w:hAnsi="Times New Roman" w:cs="Times New Roman"/>
          <w:sz w:val="20"/>
          <w:szCs w:val="20"/>
        </w:rPr>
        <w:t xml:space="preserve">, </w:t>
      </w:r>
      <w:r w:rsidR="00FB1D04">
        <w:rPr>
          <w:rFonts w:ascii="Times New Roman" w:hAnsi="Times New Roman" w:cs="Times New Roman"/>
          <w:sz w:val="20"/>
          <w:szCs w:val="20"/>
        </w:rPr>
        <w:t xml:space="preserve">while selecting </w:t>
      </w:r>
      <w:bookmarkStart w:id="0" w:name="_GoBack"/>
      <w:bookmarkEnd w:id="0"/>
      <w:r w:rsidR="005979E7">
        <w:rPr>
          <w:rFonts w:ascii="Times New Roman" w:hAnsi="Times New Roman" w:cs="Times New Roman"/>
          <w:sz w:val="20"/>
          <w:szCs w:val="20"/>
        </w:rPr>
        <w:t xml:space="preserve">areas with </w:t>
      </w:r>
      <w:r w:rsidR="00DE5A0B">
        <w:rPr>
          <w:rFonts w:ascii="Times New Roman" w:hAnsi="Times New Roman" w:cs="Times New Roman"/>
          <w:sz w:val="20"/>
          <w:szCs w:val="20"/>
        </w:rPr>
        <w:t>currents great</w:t>
      </w:r>
      <w:r w:rsidR="00DB503A">
        <w:rPr>
          <w:rFonts w:ascii="Times New Roman" w:hAnsi="Times New Roman" w:cs="Times New Roman"/>
          <w:sz w:val="20"/>
          <w:szCs w:val="20"/>
        </w:rPr>
        <w:t>er</w:t>
      </w:r>
      <w:r w:rsidR="00DE5A0B">
        <w:rPr>
          <w:rFonts w:ascii="Times New Roman" w:hAnsi="Times New Roman" w:cs="Times New Roman"/>
          <w:sz w:val="20"/>
          <w:szCs w:val="20"/>
        </w:rPr>
        <w:t xml:space="preserve"> than 15m</w:t>
      </w:r>
      <w:r w:rsidR="000C326A">
        <w:rPr>
          <w:rFonts w:ascii="Times New Roman" w:hAnsi="Times New Roman" w:cs="Times New Roman"/>
          <w:sz w:val="20"/>
          <w:szCs w:val="20"/>
          <w:vertAlign w:val="superscript"/>
        </w:rPr>
        <w:t>-sec</w:t>
      </w:r>
      <w:r w:rsidR="000C326A">
        <w:rPr>
          <w:rFonts w:ascii="Times New Roman" w:hAnsi="Times New Roman" w:cs="Times New Roman"/>
          <w:sz w:val="20"/>
          <w:szCs w:val="20"/>
        </w:rPr>
        <w:t>,</w:t>
      </w:r>
      <w:r w:rsidR="00DE5A0B">
        <w:rPr>
          <w:rFonts w:ascii="Times New Roman" w:hAnsi="Times New Roman" w:cs="Times New Roman"/>
          <w:sz w:val="20"/>
          <w:szCs w:val="20"/>
        </w:rPr>
        <w:t xml:space="preserve"> and</w:t>
      </w:r>
      <w:r w:rsidR="001A2F1F">
        <w:rPr>
          <w:rFonts w:ascii="Times New Roman" w:hAnsi="Times New Roman" w:cs="Times New Roman"/>
          <w:sz w:val="20"/>
          <w:szCs w:val="20"/>
        </w:rPr>
        <w:t xml:space="preserve"> </w:t>
      </w:r>
      <w:r w:rsidR="000C326A">
        <w:rPr>
          <w:rFonts w:ascii="Times New Roman" w:hAnsi="Times New Roman" w:cs="Times New Roman"/>
          <w:sz w:val="20"/>
          <w:szCs w:val="20"/>
        </w:rPr>
        <w:t xml:space="preserve">areas with </w:t>
      </w:r>
      <w:r w:rsidR="001A2F1F">
        <w:rPr>
          <w:rFonts w:ascii="Times New Roman" w:hAnsi="Times New Roman" w:cs="Times New Roman"/>
          <w:sz w:val="20"/>
          <w:szCs w:val="20"/>
        </w:rPr>
        <w:t xml:space="preserve">the potential for sand bottom. Species under consideration for growout on the farm also </w:t>
      </w:r>
      <w:r w:rsidR="000C326A">
        <w:rPr>
          <w:rFonts w:ascii="Times New Roman" w:hAnsi="Times New Roman" w:cs="Times New Roman"/>
          <w:sz w:val="20"/>
          <w:szCs w:val="20"/>
        </w:rPr>
        <w:t xml:space="preserve">were </w:t>
      </w:r>
      <w:r w:rsidR="001A2F1F">
        <w:rPr>
          <w:rFonts w:ascii="Times New Roman" w:hAnsi="Times New Roman" w:cs="Times New Roman"/>
          <w:sz w:val="20"/>
          <w:szCs w:val="20"/>
        </w:rPr>
        <w:t xml:space="preserve">provided so that temperature could be considered for potential locations. </w:t>
      </w:r>
      <w:r w:rsidR="00844E58">
        <w:rPr>
          <w:rFonts w:ascii="Times New Roman" w:hAnsi="Times New Roman" w:cs="Times New Roman"/>
          <w:sz w:val="20"/>
          <w:szCs w:val="20"/>
        </w:rPr>
        <w:t>The</w:t>
      </w:r>
      <w:r w:rsidR="005979E7">
        <w:rPr>
          <w:rFonts w:ascii="Times New Roman" w:hAnsi="Times New Roman" w:cs="Times New Roman"/>
          <w:sz w:val="20"/>
          <w:szCs w:val="20"/>
        </w:rPr>
        <w:t xml:space="preserve"> NOAA</w:t>
      </w:r>
      <w:r w:rsidR="00844E58" w:rsidRPr="00EF0534">
        <w:rPr>
          <w:rFonts w:ascii="Times New Roman" w:hAnsi="Times New Roman" w:cs="Times New Roman"/>
          <w:sz w:val="20"/>
          <w:szCs w:val="20"/>
        </w:rPr>
        <w:t xml:space="preserve"> Coastal Aquaculture Siting and Sustainability Program</w:t>
      </w:r>
      <w:r w:rsidR="00844E58">
        <w:rPr>
          <w:rFonts w:ascii="Times New Roman" w:hAnsi="Times New Roman" w:cs="Times New Roman"/>
          <w:sz w:val="20"/>
          <w:szCs w:val="20"/>
        </w:rPr>
        <w:t xml:space="preserve"> used the site characteristics supplied by the team to </w:t>
      </w:r>
      <w:r w:rsidR="00844E58" w:rsidRPr="00EF0534">
        <w:rPr>
          <w:rFonts w:ascii="Times New Roman" w:hAnsi="Times New Roman" w:cs="Times New Roman"/>
          <w:sz w:val="20"/>
          <w:szCs w:val="20"/>
        </w:rPr>
        <w:t>scientifically screen for suitable locations</w:t>
      </w:r>
      <w:r w:rsidR="00844E58">
        <w:rPr>
          <w:rFonts w:ascii="Times New Roman" w:hAnsi="Times New Roman" w:cs="Times New Roman"/>
          <w:sz w:val="20"/>
          <w:szCs w:val="20"/>
        </w:rPr>
        <w:t xml:space="preserve">. The siting </w:t>
      </w:r>
      <w:r w:rsidR="00844E58" w:rsidRPr="00956B58">
        <w:rPr>
          <w:rFonts w:ascii="Times New Roman" w:hAnsi="Times New Roman" w:cs="Times New Roman"/>
          <w:sz w:val="20"/>
          <w:szCs w:val="20"/>
        </w:rPr>
        <w:t>model considers multiple layers</w:t>
      </w:r>
      <w:r w:rsidR="005979E7">
        <w:rPr>
          <w:rFonts w:ascii="Times New Roman" w:hAnsi="Times New Roman" w:cs="Times New Roman"/>
          <w:sz w:val="20"/>
          <w:szCs w:val="20"/>
        </w:rPr>
        <w:t xml:space="preserve"> of data such as </w:t>
      </w:r>
      <w:r w:rsidR="00844E58">
        <w:rPr>
          <w:rFonts w:ascii="Times New Roman" w:hAnsi="Times New Roman" w:cs="Times New Roman"/>
          <w:sz w:val="20"/>
          <w:szCs w:val="20"/>
        </w:rPr>
        <w:t>oceanographic</w:t>
      </w:r>
      <w:r w:rsidR="005979E7">
        <w:rPr>
          <w:rFonts w:ascii="Times New Roman" w:hAnsi="Times New Roman" w:cs="Times New Roman"/>
          <w:sz w:val="20"/>
          <w:szCs w:val="20"/>
        </w:rPr>
        <w:t xml:space="preserve"> and biological</w:t>
      </w:r>
      <w:r w:rsidR="00C037BD">
        <w:rPr>
          <w:rFonts w:ascii="Times New Roman" w:hAnsi="Times New Roman" w:cs="Times New Roman"/>
          <w:sz w:val="20"/>
          <w:szCs w:val="20"/>
        </w:rPr>
        <w:t xml:space="preserve"> growing conditions on the farm</w:t>
      </w:r>
      <w:r w:rsidR="00D026FA">
        <w:rPr>
          <w:rFonts w:ascii="Times New Roman" w:hAnsi="Times New Roman" w:cs="Times New Roman"/>
          <w:sz w:val="20"/>
          <w:szCs w:val="20"/>
        </w:rPr>
        <w:t>,</w:t>
      </w:r>
      <w:r w:rsidR="00C037BD">
        <w:rPr>
          <w:rFonts w:ascii="Times New Roman" w:hAnsi="Times New Roman" w:cs="Times New Roman"/>
          <w:sz w:val="20"/>
          <w:szCs w:val="20"/>
        </w:rPr>
        <w:t xml:space="preserve"> but also considers </w:t>
      </w:r>
      <w:r w:rsidR="008F2BE7">
        <w:rPr>
          <w:rFonts w:ascii="Times New Roman" w:hAnsi="Times New Roman" w:cs="Times New Roman"/>
          <w:sz w:val="20"/>
          <w:szCs w:val="20"/>
        </w:rPr>
        <w:t xml:space="preserve">potential conflicts with </w:t>
      </w:r>
      <w:r w:rsidR="00C037BD">
        <w:rPr>
          <w:rFonts w:ascii="Times New Roman" w:hAnsi="Times New Roman" w:cs="Times New Roman"/>
          <w:sz w:val="20"/>
          <w:szCs w:val="20"/>
        </w:rPr>
        <w:t>navigation, military</w:t>
      </w:r>
      <w:r w:rsidR="008F2BE7">
        <w:rPr>
          <w:rFonts w:ascii="Times New Roman" w:hAnsi="Times New Roman" w:cs="Times New Roman"/>
          <w:sz w:val="20"/>
          <w:szCs w:val="20"/>
        </w:rPr>
        <w:t xml:space="preserve"> or industrial uses</w:t>
      </w:r>
      <w:r w:rsidR="00C037BD">
        <w:rPr>
          <w:rFonts w:ascii="Times New Roman" w:hAnsi="Times New Roman" w:cs="Times New Roman"/>
          <w:sz w:val="20"/>
          <w:szCs w:val="20"/>
        </w:rPr>
        <w:t>, protected species</w:t>
      </w:r>
      <w:r w:rsidR="00D026FA">
        <w:rPr>
          <w:rFonts w:ascii="Times New Roman" w:hAnsi="Times New Roman" w:cs="Times New Roman"/>
          <w:sz w:val="20"/>
          <w:szCs w:val="20"/>
        </w:rPr>
        <w:t>,</w:t>
      </w:r>
      <w:r w:rsidR="00C037BD">
        <w:rPr>
          <w:rFonts w:ascii="Times New Roman" w:hAnsi="Times New Roman" w:cs="Times New Roman"/>
          <w:sz w:val="20"/>
          <w:szCs w:val="20"/>
        </w:rPr>
        <w:t xml:space="preserve"> and </w:t>
      </w:r>
      <w:r w:rsidR="00D026FA">
        <w:rPr>
          <w:rFonts w:ascii="Times New Roman" w:hAnsi="Times New Roman" w:cs="Times New Roman"/>
          <w:sz w:val="20"/>
          <w:szCs w:val="20"/>
        </w:rPr>
        <w:t xml:space="preserve">the presence of </w:t>
      </w:r>
      <w:r w:rsidR="00C037BD">
        <w:rPr>
          <w:rFonts w:ascii="Times New Roman" w:hAnsi="Times New Roman" w:cs="Times New Roman"/>
          <w:sz w:val="20"/>
          <w:szCs w:val="20"/>
        </w:rPr>
        <w:t xml:space="preserve">critical and sensitive habitats. </w:t>
      </w:r>
      <w:r w:rsidR="00844E58">
        <w:rPr>
          <w:rFonts w:ascii="Times New Roman" w:hAnsi="Times New Roman" w:cs="Times New Roman"/>
          <w:sz w:val="20"/>
          <w:szCs w:val="20"/>
        </w:rPr>
        <w:t xml:space="preserve"> </w:t>
      </w:r>
      <w:r w:rsidR="00C037BD" w:rsidRPr="005979E7">
        <w:rPr>
          <w:rFonts w:ascii="Times New Roman" w:hAnsi="Times New Roman" w:cs="Times New Roman"/>
          <w:sz w:val="20"/>
          <w:szCs w:val="20"/>
        </w:rPr>
        <w:t xml:space="preserve">The output is </w:t>
      </w:r>
      <w:r w:rsidR="00844E58" w:rsidRPr="005979E7">
        <w:rPr>
          <w:rFonts w:ascii="Times New Roman" w:hAnsi="Times New Roman" w:cs="Times New Roman"/>
          <w:sz w:val="20"/>
          <w:szCs w:val="20"/>
        </w:rPr>
        <w:t xml:space="preserve">a relative </w:t>
      </w:r>
      <w:r w:rsidR="00C037BD" w:rsidRPr="005979E7">
        <w:rPr>
          <w:rFonts w:ascii="Times New Roman" w:hAnsi="Times New Roman" w:cs="Times New Roman"/>
          <w:sz w:val="20"/>
          <w:szCs w:val="20"/>
        </w:rPr>
        <w:t>suitably rating</w:t>
      </w:r>
      <w:r w:rsidR="005979E7">
        <w:rPr>
          <w:rFonts w:ascii="Times New Roman" w:hAnsi="Times New Roman" w:cs="Times New Roman"/>
          <w:sz w:val="20"/>
          <w:szCs w:val="20"/>
        </w:rPr>
        <w:t xml:space="preserve"> displayed by mapping units</w:t>
      </w:r>
      <w:r w:rsidR="00C037BD" w:rsidRPr="005979E7">
        <w:rPr>
          <w:rFonts w:ascii="Times New Roman" w:hAnsi="Times New Roman" w:cs="Times New Roman"/>
          <w:sz w:val="20"/>
          <w:szCs w:val="20"/>
        </w:rPr>
        <w:t xml:space="preserve"> for the area of inte</w:t>
      </w:r>
      <w:r w:rsidR="005979E7">
        <w:rPr>
          <w:rFonts w:ascii="Times New Roman" w:hAnsi="Times New Roman" w:cs="Times New Roman"/>
          <w:sz w:val="20"/>
          <w:szCs w:val="20"/>
        </w:rPr>
        <w:t xml:space="preserve">rest. Using the relative suitability rating for the entire area of interest, </w:t>
      </w:r>
      <w:r w:rsidR="008F2BE7">
        <w:rPr>
          <w:rFonts w:ascii="Times New Roman" w:hAnsi="Times New Roman" w:cs="Times New Roman"/>
          <w:sz w:val="20"/>
          <w:szCs w:val="20"/>
        </w:rPr>
        <w:t>five</w:t>
      </w:r>
      <w:r w:rsidR="00D41675">
        <w:rPr>
          <w:rFonts w:ascii="Times New Roman" w:hAnsi="Times New Roman" w:cs="Times New Roman"/>
          <w:sz w:val="20"/>
          <w:szCs w:val="20"/>
        </w:rPr>
        <w:t xml:space="preserve"> potential sites</w:t>
      </w:r>
      <w:r w:rsidR="005979E7">
        <w:rPr>
          <w:rFonts w:ascii="Times New Roman" w:hAnsi="Times New Roman" w:cs="Times New Roman"/>
          <w:sz w:val="20"/>
          <w:szCs w:val="20"/>
        </w:rPr>
        <w:t xml:space="preserve"> that minimized farm to port distance </w:t>
      </w:r>
      <w:r w:rsidR="00D41675">
        <w:rPr>
          <w:rFonts w:ascii="Times New Roman" w:hAnsi="Times New Roman" w:cs="Times New Roman"/>
          <w:sz w:val="20"/>
          <w:szCs w:val="20"/>
        </w:rPr>
        <w:t>were selected.  Considering mult</w:t>
      </w:r>
      <w:r w:rsidR="005979E7">
        <w:rPr>
          <w:rFonts w:ascii="Times New Roman" w:hAnsi="Times New Roman" w:cs="Times New Roman"/>
          <w:sz w:val="20"/>
          <w:szCs w:val="20"/>
        </w:rPr>
        <w:t xml:space="preserve">iple characteristics for the </w:t>
      </w:r>
      <w:r w:rsidR="008F2BE7">
        <w:rPr>
          <w:rFonts w:ascii="Times New Roman" w:hAnsi="Times New Roman" w:cs="Times New Roman"/>
          <w:sz w:val="20"/>
          <w:szCs w:val="20"/>
        </w:rPr>
        <w:t>five</w:t>
      </w:r>
      <w:r w:rsidR="005979E7">
        <w:rPr>
          <w:rFonts w:ascii="Times New Roman" w:hAnsi="Times New Roman" w:cs="Times New Roman"/>
          <w:sz w:val="20"/>
          <w:szCs w:val="20"/>
        </w:rPr>
        <w:t xml:space="preserve"> sites</w:t>
      </w:r>
      <w:r w:rsidR="008F2BE7">
        <w:rPr>
          <w:rFonts w:ascii="Times New Roman" w:hAnsi="Times New Roman" w:cs="Times New Roman"/>
          <w:sz w:val="20"/>
          <w:szCs w:val="20"/>
        </w:rPr>
        <w:t>,</w:t>
      </w:r>
      <w:r w:rsidR="005979E7">
        <w:rPr>
          <w:rFonts w:ascii="Times New Roman" w:hAnsi="Times New Roman" w:cs="Times New Roman"/>
          <w:sz w:val="20"/>
          <w:szCs w:val="20"/>
        </w:rPr>
        <w:t xml:space="preserve"> a</w:t>
      </w:r>
      <w:r w:rsidR="00D41675">
        <w:rPr>
          <w:rFonts w:ascii="Times New Roman" w:hAnsi="Times New Roman" w:cs="Times New Roman"/>
          <w:sz w:val="20"/>
          <w:szCs w:val="20"/>
        </w:rPr>
        <w:t xml:space="preserve"> preferred site was selected.  </w:t>
      </w:r>
    </w:p>
    <w:p w14:paraId="5BF1660D" w14:textId="3A06BCA8" w:rsidR="00AA6304" w:rsidRDefault="00824263" w:rsidP="00741931">
      <w:pPr>
        <w:spacing w:after="0"/>
        <w:ind w:firstLine="720"/>
        <w:rPr>
          <w:rFonts w:ascii="Times New Roman" w:hAnsi="Times New Roman" w:cs="Times New Roman"/>
          <w:sz w:val="20"/>
          <w:szCs w:val="20"/>
        </w:rPr>
      </w:pPr>
      <w:r>
        <w:rPr>
          <w:rFonts w:ascii="Times New Roman" w:hAnsi="Times New Roman" w:cs="Times New Roman"/>
          <w:sz w:val="20"/>
          <w:szCs w:val="20"/>
        </w:rPr>
        <w:t>Next</w:t>
      </w:r>
      <w:r w:rsidR="009D3146">
        <w:rPr>
          <w:rFonts w:ascii="Times New Roman" w:hAnsi="Times New Roman" w:cs="Times New Roman"/>
          <w:sz w:val="20"/>
          <w:szCs w:val="20"/>
        </w:rPr>
        <w:t>,</w:t>
      </w:r>
      <w:r>
        <w:rPr>
          <w:rFonts w:ascii="Times New Roman" w:hAnsi="Times New Roman" w:cs="Times New Roman"/>
          <w:sz w:val="20"/>
          <w:szCs w:val="20"/>
        </w:rPr>
        <w:t xml:space="preserve"> </w:t>
      </w:r>
      <w:r w:rsidR="004A070C">
        <w:rPr>
          <w:rFonts w:ascii="Times New Roman" w:hAnsi="Times New Roman" w:cs="Times New Roman"/>
          <w:sz w:val="20"/>
          <w:szCs w:val="20"/>
        </w:rPr>
        <w:t xml:space="preserve">the team completed </w:t>
      </w:r>
      <w:r w:rsidR="00FD7688">
        <w:rPr>
          <w:rFonts w:ascii="Times New Roman" w:hAnsi="Times New Roman" w:cs="Times New Roman"/>
          <w:sz w:val="20"/>
          <w:szCs w:val="20"/>
        </w:rPr>
        <w:t xml:space="preserve">a </w:t>
      </w:r>
      <w:r w:rsidR="00D41675">
        <w:rPr>
          <w:rFonts w:ascii="Times New Roman" w:hAnsi="Times New Roman" w:cs="Times New Roman"/>
          <w:sz w:val="20"/>
          <w:szCs w:val="20"/>
        </w:rPr>
        <w:t>pre-application checklist that</w:t>
      </w:r>
      <w:r>
        <w:rPr>
          <w:rFonts w:ascii="Times New Roman" w:hAnsi="Times New Roman" w:cs="Times New Roman"/>
          <w:sz w:val="20"/>
          <w:szCs w:val="20"/>
        </w:rPr>
        <w:t xml:space="preserve"> supplied</w:t>
      </w:r>
      <w:r w:rsidR="00D41675">
        <w:rPr>
          <w:rFonts w:ascii="Times New Roman" w:hAnsi="Times New Roman" w:cs="Times New Roman"/>
          <w:sz w:val="20"/>
          <w:szCs w:val="20"/>
        </w:rPr>
        <w:t xml:space="preserve"> siting details </w:t>
      </w:r>
      <w:r>
        <w:rPr>
          <w:rFonts w:ascii="Times New Roman" w:hAnsi="Times New Roman" w:cs="Times New Roman"/>
          <w:sz w:val="20"/>
          <w:szCs w:val="20"/>
        </w:rPr>
        <w:t xml:space="preserve">on all </w:t>
      </w:r>
      <w:r w:rsidR="008F2BE7">
        <w:rPr>
          <w:rFonts w:ascii="Times New Roman" w:hAnsi="Times New Roman" w:cs="Times New Roman"/>
          <w:sz w:val="20"/>
          <w:szCs w:val="20"/>
        </w:rPr>
        <w:t>five</w:t>
      </w:r>
      <w:r>
        <w:rPr>
          <w:rFonts w:ascii="Times New Roman" w:hAnsi="Times New Roman" w:cs="Times New Roman"/>
          <w:sz w:val="20"/>
          <w:szCs w:val="20"/>
        </w:rPr>
        <w:t xml:space="preserve"> potential locations, the preferred cage design, a draft layout of the farm, </w:t>
      </w:r>
      <w:r w:rsidR="008F2BE7">
        <w:rPr>
          <w:rFonts w:ascii="Times New Roman" w:hAnsi="Times New Roman" w:cs="Times New Roman"/>
          <w:sz w:val="20"/>
          <w:szCs w:val="20"/>
        </w:rPr>
        <w:t xml:space="preserve">and </w:t>
      </w:r>
      <w:r>
        <w:rPr>
          <w:rFonts w:ascii="Times New Roman" w:hAnsi="Times New Roman" w:cs="Times New Roman"/>
          <w:sz w:val="20"/>
          <w:szCs w:val="20"/>
        </w:rPr>
        <w:t>production and feed information.</w:t>
      </w:r>
      <w:r w:rsidR="00D41675">
        <w:rPr>
          <w:rFonts w:ascii="Times New Roman" w:hAnsi="Times New Roman" w:cs="Times New Roman"/>
          <w:sz w:val="20"/>
          <w:szCs w:val="20"/>
        </w:rPr>
        <w:t xml:space="preserve">  Although this step was not necessarily required because it was part of the Gulf Aquaculture Permit process, the team determined that this checklist provided the necessary information to engage in</w:t>
      </w:r>
      <w:r w:rsidR="004862D3">
        <w:rPr>
          <w:rFonts w:ascii="Times New Roman" w:hAnsi="Times New Roman" w:cs="Times New Roman"/>
          <w:sz w:val="20"/>
          <w:szCs w:val="20"/>
        </w:rPr>
        <w:t xml:space="preserve"> an interagency</w:t>
      </w:r>
      <w:r w:rsidR="00D41675">
        <w:rPr>
          <w:rFonts w:ascii="Times New Roman" w:hAnsi="Times New Roman" w:cs="Times New Roman"/>
          <w:sz w:val="20"/>
          <w:szCs w:val="20"/>
        </w:rPr>
        <w:t xml:space="preserve"> pre-application meeting. </w:t>
      </w:r>
      <w:r>
        <w:rPr>
          <w:rFonts w:ascii="Times New Roman" w:hAnsi="Times New Roman" w:cs="Times New Roman"/>
          <w:sz w:val="20"/>
          <w:szCs w:val="20"/>
        </w:rPr>
        <w:t xml:space="preserve">A </w:t>
      </w:r>
      <w:r w:rsidR="00536521">
        <w:rPr>
          <w:rFonts w:ascii="Times New Roman" w:hAnsi="Times New Roman" w:cs="Times New Roman"/>
          <w:sz w:val="20"/>
          <w:szCs w:val="20"/>
        </w:rPr>
        <w:t>pre-application meeting provided an opportunity for federal agencies to ask questions, raise potential concerns, and provide information on what they may need moving forward with the project.  After receiving feedback from</w:t>
      </w:r>
      <w:r w:rsidR="00AA6304">
        <w:rPr>
          <w:rFonts w:ascii="Times New Roman" w:hAnsi="Times New Roman" w:cs="Times New Roman"/>
          <w:sz w:val="20"/>
          <w:szCs w:val="20"/>
        </w:rPr>
        <w:t xml:space="preserve"> federal </w:t>
      </w:r>
      <w:r w:rsidR="00536521">
        <w:rPr>
          <w:rFonts w:ascii="Times New Roman" w:hAnsi="Times New Roman" w:cs="Times New Roman"/>
          <w:sz w:val="20"/>
          <w:szCs w:val="20"/>
        </w:rPr>
        <w:t>agencies</w:t>
      </w:r>
      <w:r>
        <w:rPr>
          <w:rFonts w:ascii="Times New Roman" w:hAnsi="Times New Roman" w:cs="Times New Roman"/>
          <w:sz w:val="20"/>
          <w:szCs w:val="20"/>
        </w:rPr>
        <w:t xml:space="preserve"> on the preferred site selection and other information supplied, </w:t>
      </w:r>
      <w:r w:rsidR="00AA6304">
        <w:rPr>
          <w:rFonts w:ascii="Times New Roman" w:hAnsi="Times New Roman" w:cs="Times New Roman"/>
          <w:sz w:val="20"/>
          <w:szCs w:val="20"/>
        </w:rPr>
        <w:t>the team began conversation</w:t>
      </w:r>
      <w:r w:rsidR="004862D3">
        <w:rPr>
          <w:rFonts w:ascii="Times New Roman" w:hAnsi="Times New Roman" w:cs="Times New Roman"/>
          <w:sz w:val="20"/>
          <w:szCs w:val="20"/>
        </w:rPr>
        <w:t>s</w:t>
      </w:r>
      <w:r w:rsidR="00AA6304">
        <w:rPr>
          <w:rFonts w:ascii="Times New Roman" w:hAnsi="Times New Roman" w:cs="Times New Roman"/>
          <w:sz w:val="20"/>
          <w:szCs w:val="20"/>
        </w:rPr>
        <w:t xml:space="preserve"> with Florida state </w:t>
      </w:r>
      <w:r w:rsidR="00694AEE">
        <w:rPr>
          <w:rFonts w:ascii="Times New Roman" w:hAnsi="Times New Roman" w:cs="Times New Roman"/>
          <w:sz w:val="20"/>
          <w:szCs w:val="20"/>
        </w:rPr>
        <w:t>agencies</w:t>
      </w:r>
      <w:r w:rsidR="00AA6304">
        <w:rPr>
          <w:rFonts w:ascii="Times New Roman" w:hAnsi="Times New Roman" w:cs="Times New Roman"/>
          <w:sz w:val="20"/>
          <w:szCs w:val="20"/>
        </w:rPr>
        <w:t xml:space="preserve"> that would al</w:t>
      </w:r>
      <w:r w:rsidR="004862D3">
        <w:rPr>
          <w:rFonts w:ascii="Times New Roman" w:hAnsi="Times New Roman" w:cs="Times New Roman"/>
          <w:sz w:val="20"/>
          <w:szCs w:val="20"/>
        </w:rPr>
        <w:t xml:space="preserve">so have review of the project through the Coastal Zone Management Act. </w:t>
      </w:r>
    </w:p>
    <w:p w14:paraId="56E4E3ED" w14:textId="7AF81177" w:rsidR="00694AEE" w:rsidRDefault="00694AEE" w:rsidP="00741931">
      <w:pPr>
        <w:spacing w:after="0"/>
        <w:ind w:firstLine="720"/>
        <w:rPr>
          <w:rFonts w:ascii="Times New Roman" w:hAnsi="Times New Roman" w:cs="Times New Roman"/>
          <w:sz w:val="20"/>
          <w:szCs w:val="20"/>
        </w:rPr>
      </w:pPr>
      <w:r>
        <w:rPr>
          <w:rFonts w:ascii="Times New Roman" w:hAnsi="Times New Roman" w:cs="Times New Roman"/>
          <w:sz w:val="20"/>
          <w:szCs w:val="20"/>
        </w:rPr>
        <w:t xml:space="preserve">The team </w:t>
      </w:r>
      <w:r w:rsidR="008F2BE7">
        <w:rPr>
          <w:rFonts w:ascii="Times New Roman" w:hAnsi="Times New Roman" w:cs="Times New Roman"/>
          <w:sz w:val="20"/>
          <w:szCs w:val="20"/>
        </w:rPr>
        <w:t xml:space="preserve">conducted </w:t>
      </w:r>
      <w:r>
        <w:rPr>
          <w:rFonts w:ascii="Times New Roman" w:hAnsi="Times New Roman" w:cs="Times New Roman"/>
          <w:sz w:val="20"/>
          <w:szCs w:val="20"/>
        </w:rPr>
        <w:t>the seafloor survey</w:t>
      </w:r>
      <w:r w:rsidR="00A84D21">
        <w:rPr>
          <w:rFonts w:ascii="Times New Roman" w:hAnsi="Times New Roman" w:cs="Times New Roman"/>
          <w:sz w:val="20"/>
          <w:szCs w:val="20"/>
        </w:rPr>
        <w:t xml:space="preserve"> for the preferred site including a 0.5km buffer around the preferred location</w:t>
      </w:r>
      <w:r>
        <w:rPr>
          <w:rFonts w:ascii="Times New Roman" w:hAnsi="Times New Roman" w:cs="Times New Roman"/>
          <w:sz w:val="20"/>
          <w:szCs w:val="20"/>
        </w:rPr>
        <w:t xml:space="preserve"> in April and May 2019.  </w:t>
      </w:r>
      <w:r w:rsidR="00A84D21">
        <w:rPr>
          <w:rFonts w:ascii="Times New Roman" w:hAnsi="Times New Roman" w:cs="Times New Roman"/>
          <w:sz w:val="20"/>
          <w:szCs w:val="20"/>
        </w:rPr>
        <w:t xml:space="preserve">A </w:t>
      </w:r>
      <w:r>
        <w:rPr>
          <w:rFonts w:ascii="Times New Roman" w:hAnsi="Times New Roman" w:cs="Times New Roman"/>
          <w:sz w:val="20"/>
          <w:szCs w:val="20"/>
        </w:rPr>
        <w:t>multibeam echo</w:t>
      </w:r>
      <w:r w:rsidR="005E491D">
        <w:rPr>
          <w:rFonts w:ascii="Times New Roman" w:hAnsi="Times New Roman" w:cs="Times New Roman"/>
          <w:sz w:val="20"/>
          <w:szCs w:val="20"/>
        </w:rPr>
        <w:t>sounder</w:t>
      </w:r>
      <w:r>
        <w:rPr>
          <w:rFonts w:ascii="Times New Roman" w:hAnsi="Times New Roman" w:cs="Times New Roman"/>
          <w:sz w:val="20"/>
          <w:szCs w:val="20"/>
        </w:rPr>
        <w:t xml:space="preserve"> and side scan imaging sonar</w:t>
      </w:r>
      <w:r w:rsidR="00A84D21">
        <w:rPr>
          <w:rFonts w:ascii="Times New Roman" w:hAnsi="Times New Roman" w:cs="Times New Roman"/>
          <w:sz w:val="20"/>
          <w:szCs w:val="20"/>
        </w:rPr>
        <w:t xml:space="preserve"> was used</w:t>
      </w:r>
      <w:r>
        <w:rPr>
          <w:rFonts w:ascii="Times New Roman" w:hAnsi="Times New Roman" w:cs="Times New Roman"/>
          <w:sz w:val="20"/>
          <w:szCs w:val="20"/>
        </w:rPr>
        <w:t xml:space="preserve"> to map the seafloor and detect any potential sensitive habitat</w:t>
      </w:r>
      <w:r w:rsidR="005E491D">
        <w:rPr>
          <w:rFonts w:ascii="Times New Roman" w:hAnsi="Times New Roman" w:cs="Times New Roman"/>
          <w:sz w:val="20"/>
          <w:szCs w:val="20"/>
        </w:rPr>
        <w:t xml:space="preserve"> such as hard-bottom or coral.  Additionally</w:t>
      </w:r>
      <w:r w:rsidR="008F2BE7">
        <w:rPr>
          <w:rFonts w:ascii="Times New Roman" w:hAnsi="Times New Roman" w:cs="Times New Roman"/>
          <w:sz w:val="20"/>
          <w:szCs w:val="20"/>
        </w:rPr>
        <w:t>,</w:t>
      </w:r>
      <w:r w:rsidR="005E491D">
        <w:rPr>
          <w:rFonts w:ascii="Times New Roman" w:hAnsi="Times New Roman" w:cs="Times New Roman"/>
          <w:sz w:val="20"/>
          <w:szCs w:val="20"/>
        </w:rPr>
        <w:t xml:space="preserve"> a magnetometer and sub-bottom profiler collected information such as debris, pipelines or potential archaeological resources below the sea floor surface. </w:t>
      </w:r>
      <w:r>
        <w:rPr>
          <w:rFonts w:ascii="Times New Roman" w:hAnsi="Times New Roman" w:cs="Times New Roman"/>
          <w:sz w:val="20"/>
          <w:szCs w:val="20"/>
        </w:rPr>
        <w:t xml:space="preserve"> </w:t>
      </w:r>
      <w:r w:rsidR="008E04A7">
        <w:rPr>
          <w:rFonts w:ascii="Times New Roman" w:hAnsi="Times New Roman" w:cs="Times New Roman"/>
          <w:sz w:val="20"/>
          <w:szCs w:val="20"/>
        </w:rPr>
        <w:t xml:space="preserve">This information will be </w:t>
      </w:r>
      <w:r w:rsidR="00A84D21">
        <w:rPr>
          <w:rFonts w:ascii="Times New Roman" w:hAnsi="Times New Roman" w:cs="Times New Roman"/>
          <w:sz w:val="20"/>
          <w:szCs w:val="20"/>
        </w:rPr>
        <w:t xml:space="preserve">used to select </w:t>
      </w:r>
      <w:r w:rsidR="00052EE6">
        <w:rPr>
          <w:rFonts w:ascii="Times New Roman" w:hAnsi="Times New Roman" w:cs="Times New Roman"/>
          <w:sz w:val="20"/>
          <w:szCs w:val="20"/>
        </w:rPr>
        <w:t xml:space="preserve">the </w:t>
      </w:r>
      <w:r w:rsidR="00A84D21">
        <w:rPr>
          <w:rFonts w:ascii="Times New Roman" w:hAnsi="Times New Roman" w:cs="Times New Roman"/>
          <w:sz w:val="20"/>
          <w:szCs w:val="20"/>
        </w:rPr>
        <w:t xml:space="preserve">final location </w:t>
      </w:r>
      <w:r w:rsidR="008F2BE7">
        <w:rPr>
          <w:rFonts w:ascii="Times New Roman" w:hAnsi="Times New Roman" w:cs="Times New Roman"/>
          <w:sz w:val="20"/>
          <w:szCs w:val="20"/>
        </w:rPr>
        <w:t>for</w:t>
      </w:r>
      <w:r w:rsidR="00A84D21">
        <w:rPr>
          <w:rFonts w:ascii="Times New Roman" w:hAnsi="Times New Roman" w:cs="Times New Roman"/>
          <w:sz w:val="20"/>
          <w:szCs w:val="20"/>
        </w:rPr>
        <w:t xml:space="preserve"> the 48ha farm</w:t>
      </w:r>
      <w:r w:rsidR="008E04A7">
        <w:rPr>
          <w:rFonts w:ascii="Times New Roman" w:hAnsi="Times New Roman" w:cs="Times New Roman"/>
          <w:sz w:val="20"/>
          <w:szCs w:val="20"/>
        </w:rPr>
        <w:t xml:space="preserve"> and guide final design and mooring decisions.  A </w:t>
      </w:r>
      <w:r w:rsidR="004862D3">
        <w:rPr>
          <w:rFonts w:ascii="Times New Roman" w:hAnsi="Times New Roman" w:cs="Times New Roman"/>
          <w:sz w:val="20"/>
          <w:szCs w:val="20"/>
        </w:rPr>
        <w:t xml:space="preserve">baseline environmental </w:t>
      </w:r>
      <w:r w:rsidR="008E04A7">
        <w:rPr>
          <w:rFonts w:ascii="Times New Roman" w:hAnsi="Times New Roman" w:cs="Times New Roman"/>
          <w:sz w:val="20"/>
          <w:szCs w:val="20"/>
        </w:rPr>
        <w:t xml:space="preserve">report that supplies the </w:t>
      </w:r>
      <w:r w:rsidR="00A84D21">
        <w:rPr>
          <w:rFonts w:ascii="Times New Roman" w:hAnsi="Times New Roman" w:cs="Times New Roman"/>
          <w:sz w:val="20"/>
          <w:szCs w:val="20"/>
        </w:rPr>
        <w:t xml:space="preserve">processed </w:t>
      </w:r>
      <w:r w:rsidR="008E04A7">
        <w:rPr>
          <w:rFonts w:ascii="Times New Roman" w:hAnsi="Times New Roman" w:cs="Times New Roman"/>
          <w:sz w:val="20"/>
          <w:szCs w:val="20"/>
        </w:rPr>
        <w:t xml:space="preserve">maps </w:t>
      </w:r>
      <w:r w:rsidR="00A84D21">
        <w:rPr>
          <w:rFonts w:ascii="Times New Roman" w:hAnsi="Times New Roman" w:cs="Times New Roman"/>
          <w:sz w:val="20"/>
          <w:szCs w:val="20"/>
        </w:rPr>
        <w:t>and</w:t>
      </w:r>
      <w:r w:rsidR="008E04A7">
        <w:rPr>
          <w:rFonts w:ascii="Times New Roman" w:hAnsi="Times New Roman" w:cs="Times New Roman"/>
          <w:sz w:val="20"/>
          <w:szCs w:val="20"/>
        </w:rPr>
        <w:t xml:space="preserve"> information on potential physical, biological</w:t>
      </w:r>
      <w:r w:rsidR="008F2BE7">
        <w:rPr>
          <w:rFonts w:ascii="Times New Roman" w:hAnsi="Times New Roman" w:cs="Times New Roman"/>
          <w:sz w:val="20"/>
          <w:szCs w:val="20"/>
        </w:rPr>
        <w:t>,</w:t>
      </w:r>
      <w:r w:rsidR="008E04A7">
        <w:rPr>
          <w:rFonts w:ascii="Times New Roman" w:hAnsi="Times New Roman" w:cs="Times New Roman"/>
          <w:sz w:val="20"/>
          <w:szCs w:val="20"/>
        </w:rPr>
        <w:t xml:space="preserve"> and archaeological resources </w:t>
      </w:r>
      <w:r w:rsidR="008F2BE7">
        <w:rPr>
          <w:rFonts w:ascii="Times New Roman" w:hAnsi="Times New Roman" w:cs="Times New Roman"/>
          <w:sz w:val="20"/>
          <w:szCs w:val="20"/>
        </w:rPr>
        <w:t xml:space="preserve">also </w:t>
      </w:r>
      <w:r w:rsidR="008E04A7">
        <w:rPr>
          <w:rFonts w:ascii="Times New Roman" w:hAnsi="Times New Roman" w:cs="Times New Roman"/>
          <w:sz w:val="20"/>
          <w:szCs w:val="20"/>
        </w:rPr>
        <w:t xml:space="preserve">will be produced </w:t>
      </w:r>
      <w:r w:rsidR="004862D3">
        <w:rPr>
          <w:rFonts w:ascii="Times New Roman" w:hAnsi="Times New Roman" w:cs="Times New Roman"/>
          <w:sz w:val="20"/>
          <w:szCs w:val="20"/>
        </w:rPr>
        <w:t xml:space="preserve">for the permitting and consultation agencies. </w:t>
      </w:r>
      <w:r w:rsidR="00A84D21">
        <w:rPr>
          <w:rFonts w:ascii="Times New Roman" w:hAnsi="Times New Roman" w:cs="Times New Roman"/>
          <w:sz w:val="20"/>
          <w:szCs w:val="20"/>
        </w:rPr>
        <w:t xml:space="preserve">  </w:t>
      </w:r>
    </w:p>
    <w:p w14:paraId="2608E7D2" w14:textId="19C2FCF7" w:rsidR="000F767D" w:rsidRDefault="00DC0022" w:rsidP="00741931">
      <w:pPr>
        <w:spacing w:after="0"/>
        <w:ind w:firstLine="720"/>
        <w:rPr>
          <w:rFonts w:ascii="Times New Roman" w:hAnsi="Times New Roman" w:cs="Times New Roman"/>
          <w:sz w:val="20"/>
          <w:szCs w:val="20"/>
        </w:rPr>
      </w:pPr>
      <w:r>
        <w:rPr>
          <w:rFonts w:ascii="Times New Roman" w:hAnsi="Times New Roman" w:cs="Times New Roman"/>
          <w:sz w:val="20"/>
          <w:szCs w:val="20"/>
        </w:rPr>
        <w:t>Prior to submitting a</w:t>
      </w:r>
      <w:r w:rsidR="008E04A7">
        <w:rPr>
          <w:rFonts w:ascii="Times New Roman" w:hAnsi="Times New Roman" w:cs="Times New Roman"/>
          <w:sz w:val="20"/>
          <w:szCs w:val="20"/>
        </w:rPr>
        <w:t xml:space="preserve"> NPDES permit to the EPA and a </w:t>
      </w:r>
      <w:r w:rsidR="008F2BE7">
        <w:rPr>
          <w:rFonts w:ascii="Times New Roman" w:hAnsi="Times New Roman" w:cs="Times New Roman"/>
          <w:sz w:val="20"/>
          <w:szCs w:val="20"/>
        </w:rPr>
        <w:t>S</w:t>
      </w:r>
      <w:r w:rsidR="008E04A7">
        <w:rPr>
          <w:rFonts w:ascii="Times New Roman" w:hAnsi="Times New Roman" w:cs="Times New Roman"/>
          <w:sz w:val="20"/>
          <w:szCs w:val="20"/>
        </w:rPr>
        <w:t>ection 10 permit to t</w:t>
      </w:r>
      <w:r w:rsidR="004862D3">
        <w:rPr>
          <w:rFonts w:ascii="Times New Roman" w:hAnsi="Times New Roman" w:cs="Times New Roman"/>
          <w:sz w:val="20"/>
          <w:szCs w:val="20"/>
        </w:rPr>
        <w:t xml:space="preserve">he USACE, the team will </w:t>
      </w:r>
      <w:r w:rsidR="008E04A7">
        <w:rPr>
          <w:rFonts w:ascii="Times New Roman" w:hAnsi="Times New Roman" w:cs="Times New Roman"/>
          <w:sz w:val="20"/>
          <w:szCs w:val="20"/>
        </w:rPr>
        <w:t>finalize the farm site and conduct struc</w:t>
      </w:r>
      <w:r w:rsidR="004862D3">
        <w:rPr>
          <w:rFonts w:ascii="Times New Roman" w:hAnsi="Times New Roman" w:cs="Times New Roman"/>
          <w:sz w:val="20"/>
          <w:szCs w:val="20"/>
        </w:rPr>
        <w:t>tural modeling for the cages. The structural modeling will occur following conversations with permitting and consultation agencies</w:t>
      </w:r>
      <w:r w:rsidR="000F767D">
        <w:rPr>
          <w:rFonts w:ascii="Times New Roman" w:hAnsi="Times New Roman" w:cs="Times New Roman"/>
          <w:sz w:val="20"/>
          <w:szCs w:val="20"/>
        </w:rPr>
        <w:t xml:space="preserve"> on selected materials. </w:t>
      </w:r>
      <w:r w:rsidR="004862D3">
        <w:rPr>
          <w:rFonts w:ascii="Times New Roman" w:hAnsi="Times New Roman" w:cs="Times New Roman"/>
          <w:sz w:val="20"/>
          <w:szCs w:val="20"/>
        </w:rPr>
        <w:t xml:space="preserve">Information regarding feed and effluent characteristics will be supplied to the EPA for inclusion in effluent models. </w:t>
      </w:r>
      <w:r w:rsidR="000F767D">
        <w:rPr>
          <w:rFonts w:ascii="Times New Roman" w:hAnsi="Times New Roman" w:cs="Times New Roman"/>
          <w:sz w:val="20"/>
          <w:szCs w:val="20"/>
        </w:rPr>
        <w:t xml:space="preserve">  </w:t>
      </w:r>
    </w:p>
    <w:p w14:paraId="3EB22C45" w14:textId="2B395456" w:rsidR="008E04A7" w:rsidRDefault="000F767D">
      <w:pPr>
        <w:ind w:firstLine="720"/>
        <w:rPr>
          <w:rFonts w:ascii="Times New Roman" w:hAnsi="Times New Roman" w:cs="Times New Roman"/>
          <w:sz w:val="20"/>
          <w:szCs w:val="20"/>
        </w:rPr>
      </w:pPr>
      <w:r>
        <w:rPr>
          <w:rFonts w:ascii="Times New Roman" w:hAnsi="Times New Roman" w:cs="Times New Roman"/>
          <w:sz w:val="20"/>
          <w:szCs w:val="20"/>
        </w:rPr>
        <w:t xml:space="preserve">Feedback for this project has been obtained through discussions with multiple stakeholders. The team has engaged the </w:t>
      </w:r>
      <w:r w:rsidR="008F2BE7">
        <w:rPr>
          <w:rFonts w:ascii="Times New Roman" w:hAnsi="Times New Roman" w:cs="Times New Roman"/>
          <w:sz w:val="20"/>
          <w:szCs w:val="20"/>
        </w:rPr>
        <w:t>NOAA S</w:t>
      </w:r>
      <w:r>
        <w:rPr>
          <w:rFonts w:ascii="Times New Roman" w:hAnsi="Times New Roman" w:cs="Times New Roman"/>
          <w:sz w:val="20"/>
          <w:szCs w:val="20"/>
        </w:rPr>
        <w:t xml:space="preserve">outheast </w:t>
      </w:r>
      <w:r w:rsidR="008F2BE7">
        <w:rPr>
          <w:rFonts w:ascii="Times New Roman" w:hAnsi="Times New Roman" w:cs="Times New Roman"/>
          <w:sz w:val="20"/>
          <w:szCs w:val="20"/>
        </w:rPr>
        <w:t xml:space="preserve">Region </w:t>
      </w:r>
      <w:r>
        <w:rPr>
          <w:rFonts w:ascii="Times New Roman" w:hAnsi="Times New Roman" w:cs="Times New Roman"/>
          <w:sz w:val="20"/>
          <w:szCs w:val="20"/>
        </w:rPr>
        <w:t xml:space="preserve">Aquaculture coordinator, the EPA </w:t>
      </w:r>
      <w:r w:rsidR="008F2BE7">
        <w:rPr>
          <w:rFonts w:ascii="Times New Roman" w:hAnsi="Times New Roman" w:cs="Times New Roman"/>
          <w:sz w:val="20"/>
          <w:szCs w:val="20"/>
        </w:rPr>
        <w:t>R</w:t>
      </w:r>
      <w:r>
        <w:rPr>
          <w:rFonts w:ascii="Times New Roman" w:hAnsi="Times New Roman" w:cs="Times New Roman"/>
          <w:sz w:val="20"/>
          <w:szCs w:val="20"/>
        </w:rPr>
        <w:t>egion 4 office</w:t>
      </w:r>
      <w:r w:rsidR="009D3146">
        <w:rPr>
          <w:rFonts w:ascii="Times New Roman" w:hAnsi="Times New Roman" w:cs="Times New Roman"/>
          <w:sz w:val="20"/>
          <w:szCs w:val="20"/>
        </w:rPr>
        <w:t>,</w:t>
      </w:r>
      <w:r>
        <w:rPr>
          <w:rFonts w:ascii="Times New Roman" w:hAnsi="Times New Roman" w:cs="Times New Roman"/>
          <w:sz w:val="20"/>
          <w:szCs w:val="20"/>
        </w:rPr>
        <w:t xml:space="preserve"> and the USACE from the beginning of the project. The guidance and feedback</w:t>
      </w:r>
      <w:r w:rsidR="00666816">
        <w:rPr>
          <w:rFonts w:ascii="Times New Roman" w:hAnsi="Times New Roman" w:cs="Times New Roman"/>
          <w:sz w:val="20"/>
          <w:szCs w:val="20"/>
        </w:rPr>
        <w:t xml:space="preserve"> from these agencies</w:t>
      </w:r>
      <w:r>
        <w:rPr>
          <w:rFonts w:ascii="Times New Roman" w:hAnsi="Times New Roman" w:cs="Times New Roman"/>
          <w:sz w:val="20"/>
          <w:szCs w:val="20"/>
        </w:rPr>
        <w:t xml:space="preserve"> has been instrumental in moving this project through the process in a timely manner.  </w:t>
      </w:r>
      <w:r w:rsidR="009C7AEE">
        <w:rPr>
          <w:rFonts w:ascii="Times New Roman" w:hAnsi="Times New Roman" w:cs="Times New Roman"/>
          <w:sz w:val="20"/>
          <w:szCs w:val="20"/>
        </w:rPr>
        <w:t>Additional guidance</w:t>
      </w:r>
      <w:r>
        <w:rPr>
          <w:rFonts w:ascii="Times New Roman" w:hAnsi="Times New Roman" w:cs="Times New Roman"/>
          <w:sz w:val="20"/>
          <w:szCs w:val="20"/>
        </w:rPr>
        <w:t xml:space="preserve"> from the Florida Department of Agriculture</w:t>
      </w:r>
      <w:r w:rsidR="009C7AEE">
        <w:rPr>
          <w:rFonts w:ascii="Times New Roman" w:hAnsi="Times New Roman" w:cs="Times New Roman"/>
          <w:sz w:val="20"/>
          <w:szCs w:val="20"/>
        </w:rPr>
        <w:t xml:space="preserve"> and Consumer Services Division of Aquaculture has been instrumental in aiding project development.  Recreational</w:t>
      </w:r>
      <w:r w:rsidR="00666816">
        <w:rPr>
          <w:rFonts w:ascii="Times New Roman" w:hAnsi="Times New Roman" w:cs="Times New Roman"/>
          <w:sz w:val="20"/>
          <w:szCs w:val="20"/>
        </w:rPr>
        <w:t xml:space="preserve"> anglers</w:t>
      </w:r>
      <w:r w:rsidR="009C7AEE">
        <w:rPr>
          <w:rFonts w:ascii="Times New Roman" w:hAnsi="Times New Roman" w:cs="Times New Roman"/>
          <w:sz w:val="20"/>
          <w:szCs w:val="20"/>
        </w:rPr>
        <w:t xml:space="preserve">, commercial </w:t>
      </w:r>
      <w:r w:rsidR="00666816">
        <w:rPr>
          <w:rFonts w:ascii="Times New Roman" w:hAnsi="Times New Roman" w:cs="Times New Roman"/>
          <w:sz w:val="20"/>
          <w:szCs w:val="20"/>
        </w:rPr>
        <w:t>fisherme</w:t>
      </w:r>
      <w:r w:rsidR="009C7AEE">
        <w:rPr>
          <w:rFonts w:ascii="Times New Roman" w:hAnsi="Times New Roman" w:cs="Times New Roman"/>
          <w:sz w:val="20"/>
          <w:szCs w:val="20"/>
        </w:rPr>
        <w:t>n</w:t>
      </w:r>
      <w:r w:rsidR="009D3146">
        <w:rPr>
          <w:rFonts w:ascii="Times New Roman" w:hAnsi="Times New Roman" w:cs="Times New Roman"/>
          <w:sz w:val="20"/>
          <w:szCs w:val="20"/>
        </w:rPr>
        <w:t>,</w:t>
      </w:r>
      <w:r w:rsidR="009C7AEE">
        <w:rPr>
          <w:rFonts w:ascii="Times New Roman" w:hAnsi="Times New Roman" w:cs="Times New Roman"/>
          <w:sz w:val="20"/>
          <w:szCs w:val="20"/>
        </w:rPr>
        <w:t xml:space="preserve"> and members of non-governmental organizations </w:t>
      </w:r>
      <w:r w:rsidR="009D3146">
        <w:rPr>
          <w:rFonts w:ascii="Times New Roman" w:hAnsi="Times New Roman" w:cs="Times New Roman"/>
          <w:sz w:val="20"/>
          <w:szCs w:val="20"/>
        </w:rPr>
        <w:t xml:space="preserve">also </w:t>
      </w:r>
      <w:r w:rsidR="009C7AEE">
        <w:rPr>
          <w:rFonts w:ascii="Times New Roman" w:hAnsi="Times New Roman" w:cs="Times New Roman"/>
          <w:sz w:val="20"/>
          <w:szCs w:val="20"/>
        </w:rPr>
        <w:t>have supplied</w:t>
      </w:r>
      <w:r w:rsidR="00666816">
        <w:rPr>
          <w:rFonts w:ascii="Times New Roman" w:hAnsi="Times New Roman" w:cs="Times New Roman"/>
          <w:sz w:val="20"/>
          <w:szCs w:val="20"/>
        </w:rPr>
        <w:t xml:space="preserve"> important</w:t>
      </w:r>
      <w:r w:rsidR="009C7AEE">
        <w:rPr>
          <w:rFonts w:ascii="Times New Roman" w:hAnsi="Times New Roman" w:cs="Times New Roman"/>
          <w:sz w:val="20"/>
          <w:szCs w:val="20"/>
        </w:rPr>
        <w:t xml:space="preserve"> feedback for this project. The team looks</w:t>
      </w:r>
      <w:r w:rsidR="00DB503A">
        <w:rPr>
          <w:rFonts w:ascii="Times New Roman" w:hAnsi="Times New Roman" w:cs="Times New Roman"/>
          <w:sz w:val="20"/>
          <w:szCs w:val="20"/>
        </w:rPr>
        <w:t xml:space="preserve"> forward to completing the remaining </w:t>
      </w:r>
      <w:r w:rsidR="009C7AEE">
        <w:rPr>
          <w:rFonts w:ascii="Times New Roman" w:hAnsi="Times New Roman" w:cs="Times New Roman"/>
          <w:sz w:val="20"/>
          <w:szCs w:val="20"/>
        </w:rPr>
        <w:t>ob</w:t>
      </w:r>
      <w:r w:rsidR="00DB503A">
        <w:rPr>
          <w:rFonts w:ascii="Times New Roman" w:hAnsi="Times New Roman" w:cs="Times New Roman"/>
          <w:sz w:val="20"/>
          <w:szCs w:val="20"/>
        </w:rPr>
        <w:t xml:space="preserve">jectives and submitting permit applications </w:t>
      </w:r>
      <w:r w:rsidR="009C7AEE">
        <w:rPr>
          <w:rFonts w:ascii="Times New Roman" w:hAnsi="Times New Roman" w:cs="Times New Roman"/>
          <w:sz w:val="20"/>
          <w:szCs w:val="20"/>
        </w:rPr>
        <w:t xml:space="preserve">later this summer. </w:t>
      </w:r>
    </w:p>
    <w:p w14:paraId="545929C2" w14:textId="77777777" w:rsidR="00CB5A32" w:rsidRDefault="00CB5A32" w:rsidP="00CB5A32">
      <w:pPr>
        <w:spacing w:after="0"/>
        <w:rPr>
          <w:rFonts w:ascii="Times New Roman" w:hAnsi="Times New Roman" w:cs="Times New Roman"/>
          <w:b/>
          <w:sz w:val="24"/>
          <w:szCs w:val="24"/>
        </w:rPr>
      </w:pPr>
      <w:r>
        <w:rPr>
          <w:rFonts w:ascii="Times New Roman" w:hAnsi="Times New Roman" w:cs="Times New Roman"/>
          <w:b/>
          <w:sz w:val="24"/>
          <w:szCs w:val="24"/>
        </w:rPr>
        <w:t>Literature Cited</w:t>
      </w:r>
    </w:p>
    <w:p w14:paraId="7BA3D762" w14:textId="76A8C64E" w:rsidR="00CB5A32" w:rsidRPr="00D96DE9" w:rsidRDefault="00CB5A32" w:rsidP="00D96DE9">
      <w:pPr>
        <w:pStyle w:val="ListParagraph"/>
        <w:numPr>
          <w:ilvl w:val="0"/>
          <w:numId w:val="2"/>
        </w:numPr>
        <w:spacing w:after="0"/>
        <w:rPr>
          <w:rFonts w:ascii="Times New Roman" w:hAnsi="Times New Roman" w:cs="Times New Roman"/>
          <w:b/>
          <w:color w:val="000000" w:themeColor="text1"/>
          <w:sz w:val="20"/>
          <w:szCs w:val="20"/>
        </w:rPr>
      </w:pPr>
      <w:r w:rsidRPr="00D96DE9">
        <w:rPr>
          <w:rFonts w:ascii="Times New Roman" w:hAnsi="Times New Roman" w:cs="Times New Roman"/>
          <w:color w:val="000000" w:themeColor="text1"/>
          <w:sz w:val="20"/>
          <w:szCs w:val="20"/>
        </w:rPr>
        <w:t>Aquaculture homepage: Southeast Regional Office, Web. 1 Jan . 2018. &lt;http://sero.nmfs.noaa.gov/sustainable_fisheries/gulf_fisheries/aquaculture/</w:t>
      </w:r>
      <w:r w:rsidRPr="00D96DE9">
        <w:rPr>
          <w:rFonts w:ascii="Times New Roman" w:hAnsi="Times New Roman" w:cs="Times New Roman"/>
          <w:b/>
          <w:color w:val="000000" w:themeColor="text1"/>
          <w:sz w:val="20"/>
          <w:szCs w:val="20"/>
        </w:rPr>
        <w:t>&gt;</w:t>
      </w:r>
    </w:p>
    <w:p w14:paraId="578AB79F" w14:textId="640153ED" w:rsidR="00CB5A32" w:rsidRPr="00D96DE9" w:rsidRDefault="00CB5A32" w:rsidP="00D96DE9">
      <w:pPr>
        <w:pStyle w:val="ListParagraph"/>
        <w:numPr>
          <w:ilvl w:val="0"/>
          <w:numId w:val="2"/>
        </w:numPr>
        <w:rPr>
          <w:rFonts w:ascii="Times New Roman" w:hAnsi="Times New Roman" w:cs="Times New Roman"/>
          <w:color w:val="000000" w:themeColor="text1"/>
          <w:sz w:val="20"/>
          <w:szCs w:val="20"/>
        </w:rPr>
      </w:pPr>
      <w:r w:rsidRPr="00D96DE9">
        <w:rPr>
          <w:rFonts w:ascii="Times New Roman" w:hAnsi="Times New Roman" w:cs="Times New Roman"/>
          <w:color w:val="000000" w:themeColor="text1"/>
          <w:sz w:val="20"/>
          <w:szCs w:val="20"/>
        </w:rPr>
        <w:t>Gulf Seafood Institute (GSI). 2016. Summary Report on the Gulf Aquaculture Roundtable, 14-15 November 2016, New Orleans, Louisiana. Submitted to the Gulf States Marine Fisheries Commission. Grant Number ACQ-210-039-2016-GSI. 10pp.</w:t>
      </w:r>
    </w:p>
    <w:p w14:paraId="7FB333B0" w14:textId="77777777" w:rsidR="00CB5A32" w:rsidRPr="00D96DE9" w:rsidRDefault="00CB5A32" w:rsidP="00CB5A32">
      <w:pPr>
        <w:pStyle w:val="ListParagraph"/>
        <w:numPr>
          <w:ilvl w:val="0"/>
          <w:numId w:val="2"/>
        </w:numPr>
        <w:spacing w:after="0"/>
        <w:rPr>
          <w:rFonts w:ascii="Times New Roman" w:hAnsi="Times New Roman" w:cs="Times New Roman"/>
          <w:b/>
          <w:color w:val="000000" w:themeColor="text1"/>
          <w:sz w:val="20"/>
          <w:szCs w:val="20"/>
        </w:rPr>
      </w:pPr>
      <w:r w:rsidRPr="00D96DE9">
        <w:rPr>
          <w:rFonts w:ascii="Times New Roman" w:hAnsi="Times New Roman" w:cs="Times New Roman"/>
          <w:color w:val="000000" w:themeColor="text1"/>
          <w:sz w:val="20"/>
          <w:szCs w:val="20"/>
        </w:rPr>
        <w:t xml:space="preserve">Gulf Fishermen’s Association et al. versus NMFS et al. </w:t>
      </w:r>
      <w:r w:rsidRPr="00D96DE9">
        <w:rPr>
          <w:rFonts w:ascii="Times New Roman" w:hAnsi="Times New Roman" w:cs="Times New Roman"/>
          <w:color w:val="000000" w:themeColor="text1"/>
          <w:sz w:val="20"/>
          <w:szCs w:val="20"/>
          <w:shd w:val="clear" w:color="auto" w:fill="FFFFFF"/>
        </w:rPr>
        <w:t>No. 2:2016cv01271 - Document 94 (</w:t>
      </w:r>
      <w:r w:rsidRPr="00D96DE9">
        <w:rPr>
          <w:rStyle w:val="Emphasis"/>
          <w:rFonts w:ascii="Times New Roman" w:hAnsi="Times New Roman" w:cs="Times New Roman"/>
          <w:b/>
          <w:bCs/>
          <w:color w:val="000000" w:themeColor="text1"/>
          <w:sz w:val="20"/>
          <w:szCs w:val="20"/>
          <w:shd w:val="clear" w:color="auto" w:fill="FFFFFF"/>
        </w:rPr>
        <w:t>E.D. La</w:t>
      </w:r>
      <w:r w:rsidRPr="00D96DE9">
        <w:rPr>
          <w:rFonts w:ascii="Times New Roman" w:hAnsi="Times New Roman" w:cs="Times New Roman"/>
          <w:color w:val="000000" w:themeColor="text1"/>
          <w:sz w:val="20"/>
          <w:szCs w:val="20"/>
          <w:shd w:val="clear" w:color="auto" w:fill="FFFFFF"/>
        </w:rPr>
        <w:t>. 2018)</w:t>
      </w:r>
      <w:r w:rsidRPr="00D96DE9">
        <w:rPr>
          <w:rFonts w:ascii="Times New Roman" w:hAnsi="Times New Roman" w:cs="Times New Roman"/>
          <w:color w:val="000000" w:themeColor="text1"/>
          <w:sz w:val="20"/>
          <w:szCs w:val="20"/>
        </w:rPr>
        <w:t xml:space="preserve"> </w:t>
      </w:r>
    </w:p>
    <w:p w14:paraId="18D2DA7B" w14:textId="77777777" w:rsidR="00CB5A32" w:rsidRPr="00D96DE9" w:rsidRDefault="00CB5A32" w:rsidP="00CB5A32">
      <w:pPr>
        <w:pStyle w:val="ListParagraph"/>
        <w:numPr>
          <w:ilvl w:val="0"/>
          <w:numId w:val="2"/>
        </w:numPr>
        <w:rPr>
          <w:rFonts w:ascii="Times New Roman" w:hAnsi="Times New Roman" w:cs="Times New Roman"/>
          <w:b/>
          <w:color w:val="000000" w:themeColor="text1"/>
          <w:sz w:val="20"/>
          <w:szCs w:val="20"/>
        </w:rPr>
      </w:pPr>
      <w:r w:rsidRPr="00D96DE9">
        <w:rPr>
          <w:rFonts w:ascii="Times New Roman" w:hAnsi="Times New Roman" w:cs="Times New Roman"/>
          <w:color w:val="000000" w:themeColor="text1"/>
          <w:sz w:val="20"/>
          <w:szCs w:val="20"/>
        </w:rPr>
        <w:t xml:space="preserve">Gulf Fishermen’s Association et al. versus NMFS et al. </w:t>
      </w:r>
      <w:r w:rsidRPr="00D96DE9">
        <w:rPr>
          <w:rFonts w:ascii="Times New Roman" w:hAnsi="Times New Roman" w:cs="Times New Roman"/>
          <w:color w:val="000000" w:themeColor="text1"/>
          <w:sz w:val="20"/>
          <w:szCs w:val="20"/>
          <w:shd w:val="clear" w:color="auto" w:fill="FFFFFF"/>
        </w:rPr>
        <w:t>No. 2:2016cv01271 - Document 98 (</w:t>
      </w:r>
      <w:r w:rsidRPr="00D96DE9">
        <w:rPr>
          <w:rStyle w:val="Emphasis"/>
          <w:rFonts w:ascii="Times New Roman" w:hAnsi="Times New Roman" w:cs="Times New Roman"/>
          <w:b/>
          <w:bCs/>
          <w:color w:val="000000" w:themeColor="text1"/>
          <w:sz w:val="20"/>
          <w:szCs w:val="20"/>
          <w:shd w:val="clear" w:color="auto" w:fill="FFFFFF"/>
        </w:rPr>
        <w:t>E.D. La</w:t>
      </w:r>
      <w:r w:rsidRPr="00D96DE9">
        <w:rPr>
          <w:rFonts w:ascii="Times New Roman" w:hAnsi="Times New Roman" w:cs="Times New Roman"/>
          <w:color w:val="000000" w:themeColor="text1"/>
          <w:sz w:val="20"/>
          <w:szCs w:val="20"/>
          <w:shd w:val="clear" w:color="auto" w:fill="FFFFFF"/>
        </w:rPr>
        <w:t>. 2018)</w:t>
      </w:r>
      <w:r w:rsidRPr="00D96DE9">
        <w:rPr>
          <w:rFonts w:ascii="Times New Roman" w:hAnsi="Times New Roman" w:cs="Times New Roman"/>
          <w:color w:val="000000" w:themeColor="text1"/>
          <w:sz w:val="20"/>
          <w:szCs w:val="20"/>
        </w:rPr>
        <w:t xml:space="preserve"> </w:t>
      </w:r>
    </w:p>
    <w:p w14:paraId="6C1457C1" w14:textId="77777777" w:rsidR="009C7AEE" w:rsidRPr="00D96DE9" w:rsidRDefault="009C7AEE" w:rsidP="00A61402">
      <w:pPr>
        <w:ind w:firstLine="720"/>
        <w:rPr>
          <w:rFonts w:ascii="Times New Roman" w:hAnsi="Times New Roman" w:cs="Times New Roman"/>
          <w:color w:val="000000" w:themeColor="text1"/>
          <w:sz w:val="20"/>
          <w:szCs w:val="20"/>
        </w:rPr>
      </w:pPr>
    </w:p>
    <w:p w14:paraId="6377745B" w14:textId="77777777" w:rsidR="00536521" w:rsidRPr="00EF0534" w:rsidRDefault="00536521" w:rsidP="00A61402">
      <w:pPr>
        <w:ind w:firstLine="720"/>
        <w:rPr>
          <w:rFonts w:ascii="Times New Roman" w:hAnsi="Times New Roman" w:cs="Times New Roman"/>
          <w:sz w:val="20"/>
          <w:szCs w:val="20"/>
        </w:rPr>
      </w:pPr>
    </w:p>
    <w:sectPr w:rsidR="00536521" w:rsidRPr="00EF0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2697B"/>
    <w:multiLevelType w:val="hybridMultilevel"/>
    <w:tmpl w:val="07524FA6"/>
    <w:lvl w:ilvl="0" w:tplc="EA9049A0">
      <w:start w:val="1"/>
      <w:numFmt w:val="decimal"/>
      <w:lvlText w:val="%1."/>
      <w:lvlJc w:val="left"/>
      <w:pPr>
        <w:ind w:left="360" w:hanging="360"/>
      </w:pPr>
      <w:rPr>
        <w:rFonts w:ascii="Times New Roman" w:eastAsiaTheme="minorHAnsi" w:hAnsi="Times New Roman"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12ED5"/>
    <w:multiLevelType w:val="hybridMultilevel"/>
    <w:tmpl w:val="AD4CE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02"/>
    <w:rsid w:val="00052EE6"/>
    <w:rsid w:val="000B3B51"/>
    <w:rsid w:val="000B5F83"/>
    <w:rsid w:val="000C326A"/>
    <w:rsid w:val="000F767D"/>
    <w:rsid w:val="001A2F1F"/>
    <w:rsid w:val="002A111D"/>
    <w:rsid w:val="002C29ED"/>
    <w:rsid w:val="002D7B72"/>
    <w:rsid w:val="002F0100"/>
    <w:rsid w:val="003C2575"/>
    <w:rsid w:val="00410ADE"/>
    <w:rsid w:val="004862D3"/>
    <w:rsid w:val="00496FB5"/>
    <w:rsid w:val="004A070C"/>
    <w:rsid w:val="004B464B"/>
    <w:rsid w:val="004E2182"/>
    <w:rsid w:val="00536521"/>
    <w:rsid w:val="0056682F"/>
    <w:rsid w:val="005979E7"/>
    <w:rsid w:val="005E491D"/>
    <w:rsid w:val="006424E1"/>
    <w:rsid w:val="006444B4"/>
    <w:rsid w:val="00660D5C"/>
    <w:rsid w:val="00666816"/>
    <w:rsid w:val="00694AEE"/>
    <w:rsid w:val="006C0ED0"/>
    <w:rsid w:val="00741931"/>
    <w:rsid w:val="00794B92"/>
    <w:rsid w:val="00824263"/>
    <w:rsid w:val="00840AEF"/>
    <w:rsid w:val="00844E58"/>
    <w:rsid w:val="008B33CF"/>
    <w:rsid w:val="008E04A7"/>
    <w:rsid w:val="008F2BE7"/>
    <w:rsid w:val="008F4692"/>
    <w:rsid w:val="009324C7"/>
    <w:rsid w:val="00946868"/>
    <w:rsid w:val="00956B58"/>
    <w:rsid w:val="00981834"/>
    <w:rsid w:val="009846F8"/>
    <w:rsid w:val="009B24DE"/>
    <w:rsid w:val="009C7AEE"/>
    <w:rsid w:val="009D3146"/>
    <w:rsid w:val="009F768D"/>
    <w:rsid w:val="00A61402"/>
    <w:rsid w:val="00A84D21"/>
    <w:rsid w:val="00AA6304"/>
    <w:rsid w:val="00B01578"/>
    <w:rsid w:val="00B0413E"/>
    <w:rsid w:val="00BA3898"/>
    <w:rsid w:val="00C037BD"/>
    <w:rsid w:val="00CB5A32"/>
    <w:rsid w:val="00CC752B"/>
    <w:rsid w:val="00D026FA"/>
    <w:rsid w:val="00D16FF0"/>
    <w:rsid w:val="00D20623"/>
    <w:rsid w:val="00D41675"/>
    <w:rsid w:val="00D96DE9"/>
    <w:rsid w:val="00DA47AE"/>
    <w:rsid w:val="00DB503A"/>
    <w:rsid w:val="00DB64D6"/>
    <w:rsid w:val="00DC0022"/>
    <w:rsid w:val="00DE5A0B"/>
    <w:rsid w:val="00DE706A"/>
    <w:rsid w:val="00EF0534"/>
    <w:rsid w:val="00EF7375"/>
    <w:rsid w:val="00F26806"/>
    <w:rsid w:val="00FB1D04"/>
    <w:rsid w:val="00FD62E7"/>
    <w:rsid w:val="00FD6C97"/>
    <w:rsid w:val="00FD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8F8D"/>
  <w15:chartTrackingRefBased/>
  <w15:docId w15:val="{2A124670-CAB1-441C-8DE4-4A68A0C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D6"/>
    <w:pPr>
      <w:ind w:left="720"/>
      <w:contextualSpacing/>
    </w:pPr>
  </w:style>
  <w:style w:type="character" w:styleId="Hyperlink">
    <w:name w:val="Hyperlink"/>
    <w:basedOn w:val="DefaultParagraphFont"/>
    <w:uiPriority w:val="99"/>
    <w:unhideWhenUsed/>
    <w:rsid w:val="00DB64D6"/>
    <w:rPr>
      <w:color w:val="0563C1" w:themeColor="hyperlink"/>
      <w:u w:val="single"/>
    </w:rPr>
  </w:style>
  <w:style w:type="character" w:styleId="Emphasis">
    <w:name w:val="Emphasis"/>
    <w:basedOn w:val="DefaultParagraphFont"/>
    <w:uiPriority w:val="20"/>
    <w:qFormat/>
    <w:rsid w:val="00CB5A32"/>
    <w:rPr>
      <w:i/>
      <w:iCs/>
    </w:rPr>
  </w:style>
  <w:style w:type="paragraph" w:styleId="BalloonText">
    <w:name w:val="Balloon Text"/>
    <w:basedOn w:val="Normal"/>
    <w:link w:val="BalloonTextChar"/>
    <w:uiPriority w:val="99"/>
    <w:semiHidden/>
    <w:unhideWhenUsed/>
    <w:rsid w:val="00946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868"/>
    <w:rPr>
      <w:rFonts w:ascii="Segoe UI" w:hAnsi="Segoe UI" w:cs="Segoe UI"/>
      <w:sz w:val="18"/>
      <w:szCs w:val="18"/>
    </w:rPr>
  </w:style>
  <w:style w:type="character" w:styleId="CommentReference">
    <w:name w:val="annotation reference"/>
    <w:basedOn w:val="DefaultParagraphFont"/>
    <w:uiPriority w:val="99"/>
    <w:semiHidden/>
    <w:unhideWhenUsed/>
    <w:rsid w:val="00CC752B"/>
    <w:rPr>
      <w:sz w:val="16"/>
      <w:szCs w:val="16"/>
    </w:rPr>
  </w:style>
  <w:style w:type="paragraph" w:styleId="CommentText">
    <w:name w:val="annotation text"/>
    <w:basedOn w:val="Normal"/>
    <w:link w:val="CommentTextChar"/>
    <w:uiPriority w:val="99"/>
    <w:semiHidden/>
    <w:unhideWhenUsed/>
    <w:rsid w:val="00CC752B"/>
    <w:pPr>
      <w:spacing w:line="240" w:lineRule="auto"/>
    </w:pPr>
    <w:rPr>
      <w:sz w:val="20"/>
      <w:szCs w:val="20"/>
    </w:rPr>
  </w:style>
  <w:style w:type="character" w:customStyle="1" w:styleId="CommentTextChar">
    <w:name w:val="Comment Text Char"/>
    <w:basedOn w:val="DefaultParagraphFont"/>
    <w:link w:val="CommentText"/>
    <w:uiPriority w:val="99"/>
    <w:semiHidden/>
    <w:rsid w:val="00CC752B"/>
    <w:rPr>
      <w:sz w:val="20"/>
      <w:szCs w:val="20"/>
    </w:rPr>
  </w:style>
  <w:style w:type="paragraph" w:styleId="CommentSubject">
    <w:name w:val="annotation subject"/>
    <w:basedOn w:val="CommentText"/>
    <w:next w:val="CommentText"/>
    <w:link w:val="CommentSubjectChar"/>
    <w:uiPriority w:val="99"/>
    <w:semiHidden/>
    <w:unhideWhenUsed/>
    <w:rsid w:val="00CC752B"/>
    <w:rPr>
      <w:b/>
      <w:bCs/>
    </w:rPr>
  </w:style>
  <w:style w:type="character" w:customStyle="1" w:styleId="CommentSubjectChar">
    <w:name w:val="Comment Subject Char"/>
    <w:basedOn w:val="CommentTextChar"/>
    <w:link w:val="CommentSubject"/>
    <w:uiPriority w:val="99"/>
    <w:semiHidden/>
    <w:rsid w:val="00CC7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Lucas</dc:creator>
  <cp:keywords/>
  <dc:description/>
  <cp:lastModifiedBy>Kelly Lucas</cp:lastModifiedBy>
  <cp:revision>2</cp:revision>
  <cp:lastPrinted>2019-06-21T17:48:00Z</cp:lastPrinted>
  <dcterms:created xsi:type="dcterms:W3CDTF">2019-06-21T18:45:00Z</dcterms:created>
  <dcterms:modified xsi:type="dcterms:W3CDTF">2019-06-21T18:45:00Z</dcterms:modified>
</cp:coreProperties>
</file>